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9E" w:rsidRPr="00861A1A" w:rsidRDefault="00C34C9E" w:rsidP="00C34C9E">
      <w:pPr>
        <w:spacing w:after="0"/>
        <w:jc w:val="center"/>
        <w:rPr>
          <w:sz w:val="32"/>
          <w:lang w:val="hr-HR"/>
        </w:rPr>
      </w:pPr>
      <w:r w:rsidRPr="00861A1A">
        <w:rPr>
          <w:sz w:val="32"/>
          <w:lang w:val="hr-HR"/>
        </w:rPr>
        <w:t>REPUBLIKA HRVATSKA</w:t>
      </w:r>
    </w:p>
    <w:p w:rsidR="00C34C9E" w:rsidRPr="00861A1A" w:rsidRDefault="00C34C9E" w:rsidP="00C34C9E">
      <w:pPr>
        <w:spacing w:after="0"/>
        <w:jc w:val="center"/>
        <w:rPr>
          <w:lang w:val="hr-HR"/>
        </w:rPr>
      </w:pPr>
      <w:r w:rsidRPr="00861A1A">
        <w:rPr>
          <w:sz w:val="32"/>
          <w:lang w:val="hr-HR"/>
        </w:rPr>
        <w:t>MINISTARSTVO FINANCIJA</w:t>
      </w:r>
    </w:p>
    <w:p w:rsidR="00C34C9E" w:rsidRPr="00861A1A" w:rsidRDefault="00C34C9E" w:rsidP="00C34C9E">
      <w:pPr>
        <w:spacing w:after="0"/>
        <w:rPr>
          <w:lang w:val="hr-HR"/>
        </w:rPr>
      </w:pPr>
    </w:p>
    <w:p w:rsidR="00C34C9E" w:rsidRPr="00861A1A" w:rsidRDefault="00C34C9E" w:rsidP="00C34C9E">
      <w:pPr>
        <w:spacing w:after="0"/>
        <w:rPr>
          <w:lang w:val="hr-HR"/>
        </w:rPr>
      </w:pPr>
    </w:p>
    <w:p w:rsidR="00C34C9E" w:rsidRPr="00861A1A" w:rsidRDefault="00C34C9E" w:rsidP="00C34C9E">
      <w:pPr>
        <w:spacing w:after="0"/>
        <w:rPr>
          <w:lang w:val="hr-HR"/>
        </w:rPr>
      </w:pPr>
    </w:p>
    <w:p w:rsidR="00C34C9E" w:rsidRPr="00861A1A" w:rsidRDefault="00C34C9E" w:rsidP="00C34C9E">
      <w:pPr>
        <w:spacing w:after="0"/>
        <w:rPr>
          <w:lang w:val="hr-HR"/>
        </w:rPr>
      </w:pPr>
    </w:p>
    <w:p w:rsidR="00C34C9E" w:rsidRPr="00861A1A" w:rsidRDefault="00C34C9E" w:rsidP="00C34C9E">
      <w:pPr>
        <w:spacing w:after="0"/>
        <w:rPr>
          <w:lang w:val="hr-HR"/>
        </w:rPr>
      </w:pPr>
    </w:p>
    <w:p w:rsidR="00C34C9E" w:rsidRPr="00861A1A" w:rsidRDefault="00C34C9E" w:rsidP="00C34C9E">
      <w:pPr>
        <w:spacing w:after="0"/>
        <w:rPr>
          <w:lang w:val="hr-HR"/>
        </w:rPr>
      </w:pPr>
    </w:p>
    <w:p w:rsidR="002148BD" w:rsidRPr="00861A1A" w:rsidRDefault="002148BD" w:rsidP="00C34C9E">
      <w:pPr>
        <w:spacing w:after="0"/>
        <w:rPr>
          <w:lang w:val="hr-HR"/>
        </w:rPr>
      </w:pPr>
    </w:p>
    <w:p w:rsidR="002148BD" w:rsidRPr="00861A1A" w:rsidRDefault="002148BD" w:rsidP="00C34C9E">
      <w:pPr>
        <w:spacing w:after="0"/>
        <w:rPr>
          <w:lang w:val="hr-HR"/>
        </w:rPr>
      </w:pPr>
    </w:p>
    <w:p w:rsidR="00C34C9E" w:rsidRPr="00861A1A" w:rsidRDefault="00C34C9E" w:rsidP="00C34C9E">
      <w:pPr>
        <w:spacing w:after="0"/>
        <w:rPr>
          <w:lang w:val="hr-HR"/>
        </w:rPr>
      </w:pPr>
    </w:p>
    <w:p w:rsidR="00C34C9E" w:rsidRPr="00861A1A" w:rsidRDefault="00C34C9E" w:rsidP="00C34C9E">
      <w:pPr>
        <w:spacing w:after="0"/>
        <w:rPr>
          <w:lang w:val="hr-HR"/>
        </w:rPr>
      </w:pPr>
    </w:p>
    <w:p w:rsidR="00C34C9E" w:rsidRPr="00861A1A" w:rsidRDefault="00C34C9E" w:rsidP="00C34C9E">
      <w:pPr>
        <w:spacing w:after="0"/>
        <w:rPr>
          <w:lang w:val="hr-HR"/>
        </w:rPr>
      </w:pPr>
    </w:p>
    <w:p w:rsidR="00C34C9E" w:rsidRPr="00861A1A" w:rsidRDefault="00C34C9E" w:rsidP="00C34C9E">
      <w:pPr>
        <w:spacing w:after="0"/>
        <w:rPr>
          <w:lang w:val="hr-HR"/>
        </w:rPr>
      </w:pPr>
    </w:p>
    <w:p w:rsidR="00C34C9E" w:rsidRPr="00861A1A" w:rsidRDefault="00C34C9E" w:rsidP="00C34C9E">
      <w:pPr>
        <w:spacing w:after="0"/>
        <w:rPr>
          <w:lang w:val="hr-HR"/>
        </w:rPr>
      </w:pPr>
    </w:p>
    <w:p w:rsidR="00C34C9E" w:rsidRPr="00861A1A" w:rsidRDefault="00C34C9E" w:rsidP="00C34C9E">
      <w:pPr>
        <w:spacing w:after="0"/>
        <w:rPr>
          <w:lang w:val="hr-HR"/>
        </w:rPr>
      </w:pPr>
    </w:p>
    <w:p w:rsidR="00C34C9E" w:rsidRDefault="003F0685" w:rsidP="003F0685">
      <w:pPr>
        <w:spacing w:after="0"/>
        <w:jc w:val="center"/>
        <w:rPr>
          <w:lang w:val="hr-HR"/>
        </w:rPr>
      </w:pPr>
      <w:r w:rsidRPr="00861A1A">
        <w:rPr>
          <w:rFonts w:asciiTheme="majorHAnsi" w:eastAsiaTheme="majorEastAsia" w:hAnsiTheme="majorHAnsi" w:cstheme="majorBidi"/>
          <w:color w:val="17365D" w:themeColor="text2" w:themeShade="BF"/>
          <w:spacing w:val="5"/>
          <w:kern w:val="28"/>
          <w:sz w:val="52"/>
          <w:szCs w:val="52"/>
          <w:lang w:val="hr-HR"/>
        </w:rPr>
        <w:t xml:space="preserve">SMJERNICE </w:t>
      </w:r>
      <w:r w:rsidRPr="003F0685">
        <w:rPr>
          <w:rFonts w:asciiTheme="majorHAnsi" w:eastAsiaTheme="majorEastAsia" w:hAnsiTheme="majorHAnsi" w:cstheme="majorBidi"/>
          <w:color w:val="17365D" w:themeColor="text2" w:themeShade="BF"/>
          <w:spacing w:val="5"/>
          <w:kern w:val="28"/>
          <w:sz w:val="52"/>
          <w:szCs w:val="52"/>
          <w:lang w:val="hr-HR"/>
        </w:rPr>
        <w:t>EKONOMSKE I FISKALNE POLITIKE ZA RAZDOBLJE 2022. – 2024.</w:t>
      </w:r>
    </w:p>
    <w:p w:rsidR="00C34C9E" w:rsidRPr="00861A1A" w:rsidRDefault="00C34C9E" w:rsidP="00C34C9E">
      <w:pPr>
        <w:spacing w:after="0"/>
        <w:rPr>
          <w:lang w:val="hr-HR"/>
        </w:rPr>
      </w:pPr>
    </w:p>
    <w:p w:rsidR="00C34C9E" w:rsidRPr="00861A1A" w:rsidRDefault="00C34C9E" w:rsidP="00C34C9E">
      <w:pPr>
        <w:spacing w:after="0"/>
        <w:rPr>
          <w:lang w:val="hr-HR"/>
        </w:rPr>
      </w:pPr>
    </w:p>
    <w:p w:rsidR="00C34C9E" w:rsidRPr="00861A1A" w:rsidRDefault="00C34C9E" w:rsidP="00C34C9E">
      <w:pPr>
        <w:spacing w:after="0"/>
        <w:rPr>
          <w:sz w:val="24"/>
          <w:lang w:val="hr-HR"/>
        </w:rPr>
      </w:pPr>
    </w:p>
    <w:p w:rsidR="00C34C9E" w:rsidRPr="00861A1A" w:rsidRDefault="00C34C9E" w:rsidP="00C34C9E">
      <w:pPr>
        <w:spacing w:after="0"/>
        <w:rPr>
          <w:sz w:val="24"/>
          <w:lang w:val="hr-HR"/>
        </w:rPr>
      </w:pPr>
    </w:p>
    <w:p w:rsidR="00C34C9E" w:rsidRPr="00861A1A" w:rsidRDefault="00C34C9E" w:rsidP="00C34C9E">
      <w:pPr>
        <w:spacing w:after="0"/>
        <w:rPr>
          <w:sz w:val="24"/>
          <w:lang w:val="hr-HR"/>
        </w:rPr>
      </w:pPr>
    </w:p>
    <w:p w:rsidR="00C34C9E" w:rsidRPr="00861A1A" w:rsidRDefault="00C34C9E" w:rsidP="00C34C9E">
      <w:pPr>
        <w:spacing w:after="0"/>
        <w:rPr>
          <w:sz w:val="24"/>
          <w:lang w:val="hr-HR"/>
        </w:rPr>
      </w:pPr>
    </w:p>
    <w:p w:rsidR="00C34C9E" w:rsidRPr="00861A1A" w:rsidRDefault="00C34C9E" w:rsidP="00C34C9E">
      <w:pPr>
        <w:spacing w:after="0"/>
        <w:rPr>
          <w:sz w:val="24"/>
          <w:lang w:val="hr-HR"/>
        </w:rPr>
      </w:pPr>
    </w:p>
    <w:p w:rsidR="00C34C9E" w:rsidRPr="00861A1A" w:rsidRDefault="00C34C9E" w:rsidP="00C34C9E">
      <w:pPr>
        <w:spacing w:after="0"/>
        <w:rPr>
          <w:sz w:val="24"/>
          <w:lang w:val="hr-HR"/>
        </w:rPr>
      </w:pPr>
    </w:p>
    <w:p w:rsidR="00C34C9E" w:rsidRDefault="00C34C9E" w:rsidP="00C34C9E">
      <w:pPr>
        <w:spacing w:after="0"/>
        <w:rPr>
          <w:sz w:val="24"/>
          <w:lang w:val="hr-HR"/>
        </w:rPr>
      </w:pPr>
    </w:p>
    <w:p w:rsidR="002B0D74" w:rsidRDefault="002B0D74" w:rsidP="00C34C9E">
      <w:pPr>
        <w:spacing w:after="0"/>
        <w:rPr>
          <w:sz w:val="24"/>
          <w:lang w:val="hr-HR"/>
        </w:rPr>
      </w:pPr>
    </w:p>
    <w:p w:rsidR="002B0D74" w:rsidRDefault="002B0D74" w:rsidP="00C34C9E">
      <w:pPr>
        <w:spacing w:after="0"/>
        <w:rPr>
          <w:sz w:val="24"/>
          <w:lang w:val="hr-HR"/>
        </w:rPr>
      </w:pPr>
    </w:p>
    <w:p w:rsidR="002B0D74" w:rsidRPr="00861A1A" w:rsidRDefault="002B0D74" w:rsidP="00C34C9E">
      <w:pPr>
        <w:spacing w:after="0"/>
        <w:rPr>
          <w:sz w:val="24"/>
          <w:lang w:val="hr-HR"/>
        </w:rPr>
      </w:pPr>
    </w:p>
    <w:p w:rsidR="00C34C9E" w:rsidRPr="00861A1A" w:rsidRDefault="00C34C9E" w:rsidP="00C34C9E">
      <w:pPr>
        <w:spacing w:after="0"/>
        <w:rPr>
          <w:sz w:val="24"/>
          <w:lang w:val="hr-HR"/>
        </w:rPr>
      </w:pPr>
    </w:p>
    <w:p w:rsidR="00C34C9E" w:rsidRPr="00861A1A" w:rsidRDefault="00C34C9E" w:rsidP="00C34C9E">
      <w:pPr>
        <w:spacing w:after="0"/>
        <w:rPr>
          <w:sz w:val="24"/>
          <w:lang w:val="hr-HR"/>
        </w:rPr>
      </w:pPr>
    </w:p>
    <w:p w:rsidR="00C34C9E" w:rsidRPr="00861A1A" w:rsidRDefault="00C34C9E" w:rsidP="00C34C9E">
      <w:pPr>
        <w:spacing w:after="0"/>
        <w:jc w:val="center"/>
        <w:rPr>
          <w:sz w:val="24"/>
          <w:lang w:val="hr-HR"/>
        </w:rPr>
      </w:pPr>
      <w:r w:rsidRPr="00861A1A">
        <w:rPr>
          <w:sz w:val="24"/>
          <w:lang w:val="hr-HR"/>
        </w:rPr>
        <w:t xml:space="preserve">Zagreb, </w:t>
      </w:r>
      <w:r w:rsidR="00AD2958">
        <w:rPr>
          <w:sz w:val="24"/>
          <w:lang w:val="hr-HR"/>
        </w:rPr>
        <w:t>srpanj</w:t>
      </w:r>
      <w:r w:rsidRPr="00861A1A">
        <w:rPr>
          <w:sz w:val="24"/>
          <w:lang w:val="hr-HR"/>
        </w:rPr>
        <w:t xml:space="preserve"> 20</w:t>
      </w:r>
      <w:r w:rsidR="00AD2958">
        <w:rPr>
          <w:sz w:val="24"/>
          <w:lang w:val="hr-HR"/>
        </w:rPr>
        <w:t>21</w:t>
      </w:r>
      <w:r w:rsidRPr="00861A1A">
        <w:rPr>
          <w:sz w:val="24"/>
          <w:lang w:val="hr-HR"/>
        </w:rPr>
        <w:t>.</w:t>
      </w:r>
    </w:p>
    <w:p w:rsidR="00C34C9E" w:rsidRPr="00861A1A" w:rsidRDefault="00C34C9E" w:rsidP="00C34C9E">
      <w:pPr>
        <w:spacing w:after="0"/>
        <w:jc w:val="center"/>
        <w:rPr>
          <w:highlight w:val="yellow"/>
          <w:lang w:val="hr-HR"/>
        </w:rPr>
        <w:sectPr w:rsidR="00C34C9E" w:rsidRPr="00861A1A" w:rsidSect="00D8570E">
          <w:footerReference w:type="default" r:id="rId8"/>
          <w:footerReference w:type="first" r:id="rId9"/>
          <w:pgSz w:w="11906" w:h="16838"/>
          <w:pgMar w:top="1417" w:right="1417" w:bottom="1417" w:left="1417" w:header="708" w:footer="567" w:gutter="0"/>
          <w:pgNumType w:chapStyle="1"/>
          <w:cols w:space="708"/>
          <w:titlePg/>
          <w:docGrid w:linePitch="360"/>
        </w:sectPr>
      </w:pPr>
    </w:p>
    <w:p w:rsidR="00E52BDF" w:rsidRPr="00861A1A" w:rsidRDefault="00E52BDF" w:rsidP="00E52BDF">
      <w:pPr>
        <w:pStyle w:val="Naslov1"/>
        <w:rPr>
          <w:lang w:val="hr-HR"/>
        </w:rPr>
      </w:pPr>
      <w:bookmarkStart w:id="0" w:name="_Toc78395751"/>
      <w:r w:rsidRPr="00987F75">
        <w:rPr>
          <w:lang w:val="hr-HR"/>
        </w:rPr>
        <w:lastRenderedPageBreak/>
        <w:t>SADRŽAJ</w:t>
      </w:r>
      <w:bookmarkEnd w:id="0"/>
    </w:p>
    <w:sdt>
      <w:sdtPr>
        <w:rPr>
          <w:rFonts w:asciiTheme="minorHAnsi" w:eastAsiaTheme="minorHAnsi" w:hAnsiTheme="minorHAnsi" w:cstheme="minorBidi"/>
          <w:b w:val="0"/>
          <w:bCs w:val="0"/>
          <w:color w:val="auto"/>
          <w:sz w:val="22"/>
          <w:szCs w:val="22"/>
          <w:lang w:val="hr-HR" w:eastAsia="en-US"/>
        </w:rPr>
        <w:id w:val="390004569"/>
        <w:docPartObj>
          <w:docPartGallery w:val="Table of Contents"/>
          <w:docPartUnique/>
        </w:docPartObj>
      </w:sdtPr>
      <w:sdtEndPr>
        <w:rPr>
          <w:lang w:val="en-GB"/>
        </w:rPr>
      </w:sdtEndPr>
      <w:sdtContent>
        <w:p w:rsidR="002302A5" w:rsidRDefault="002302A5">
          <w:pPr>
            <w:pStyle w:val="TOCNaslov"/>
          </w:pPr>
          <w:r>
            <w:rPr>
              <w:lang w:val="hr-HR"/>
            </w:rPr>
            <w:t>Sadržaj</w:t>
          </w:r>
        </w:p>
        <w:p w:rsidR="00377947" w:rsidRDefault="002302A5">
          <w:pPr>
            <w:pStyle w:val="Sadraj1"/>
            <w:tabs>
              <w:tab w:val="right" w:leader="dot" w:pos="9062"/>
            </w:tabs>
            <w:rPr>
              <w:rFonts w:eastAsiaTheme="minorEastAsia"/>
              <w:noProof/>
              <w:lang w:val="hr-HR" w:eastAsia="hr-HR"/>
            </w:rPr>
          </w:pPr>
          <w:r>
            <w:fldChar w:fldCharType="begin"/>
          </w:r>
          <w:r>
            <w:instrText xml:space="preserve"> TOC \o "1-3" \h \z \u </w:instrText>
          </w:r>
          <w:r>
            <w:fldChar w:fldCharType="separate"/>
          </w:r>
          <w:hyperlink w:anchor="_Toc78395751" w:history="1">
            <w:r w:rsidR="00377947" w:rsidRPr="00D34179">
              <w:rPr>
                <w:rStyle w:val="Hiperveza"/>
                <w:noProof/>
                <w:lang w:val="hr-HR"/>
              </w:rPr>
              <w:t>SADRŽAJ</w:t>
            </w:r>
            <w:r w:rsidR="00377947">
              <w:rPr>
                <w:noProof/>
                <w:webHidden/>
              </w:rPr>
              <w:tab/>
            </w:r>
            <w:r w:rsidR="00377947">
              <w:rPr>
                <w:noProof/>
                <w:webHidden/>
              </w:rPr>
              <w:fldChar w:fldCharType="begin"/>
            </w:r>
            <w:r w:rsidR="00377947">
              <w:rPr>
                <w:noProof/>
                <w:webHidden/>
              </w:rPr>
              <w:instrText xml:space="preserve"> PAGEREF _Toc78395751 \h </w:instrText>
            </w:r>
            <w:r w:rsidR="00377947">
              <w:rPr>
                <w:noProof/>
                <w:webHidden/>
              </w:rPr>
            </w:r>
            <w:r w:rsidR="00377947">
              <w:rPr>
                <w:noProof/>
                <w:webHidden/>
              </w:rPr>
              <w:fldChar w:fldCharType="separate"/>
            </w:r>
            <w:r w:rsidR="00377947">
              <w:rPr>
                <w:noProof/>
                <w:webHidden/>
              </w:rPr>
              <w:t>2</w:t>
            </w:r>
            <w:r w:rsidR="00377947">
              <w:rPr>
                <w:noProof/>
                <w:webHidden/>
              </w:rPr>
              <w:fldChar w:fldCharType="end"/>
            </w:r>
          </w:hyperlink>
        </w:p>
        <w:p w:rsidR="00377947" w:rsidRDefault="00A90E6E">
          <w:pPr>
            <w:pStyle w:val="Sadraj1"/>
            <w:tabs>
              <w:tab w:val="right" w:leader="dot" w:pos="9062"/>
            </w:tabs>
            <w:rPr>
              <w:rFonts w:eastAsiaTheme="minorEastAsia"/>
              <w:noProof/>
              <w:lang w:val="hr-HR" w:eastAsia="hr-HR"/>
            </w:rPr>
          </w:pPr>
          <w:hyperlink w:anchor="_Toc78395752" w:history="1">
            <w:r w:rsidR="00377947" w:rsidRPr="00D34179">
              <w:rPr>
                <w:rStyle w:val="Hiperveza"/>
                <w:noProof/>
                <w:lang w:val="hr-HR"/>
              </w:rPr>
              <w:t>POPIS TABLICA</w:t>
            </w:r>
            <w:r w:rsidR="00377947">
              <w:rPr>
                <w:noProof/>
                <w:webHidden/>
              </w:rPr>
              <w:tab/>
            </w:r>
            <w:r w:rsidR="00377947">
              <w:rPr>
                <w:noProof/>
                <w:webHidden/>
              </w:rPr>
              <w:fldChar w:fldCharType="begin"/>
            </w:r>
            <w:r w:rsidR="00377947">
              <w:rPr>
                <w:noProof/>
                <w:webHidden/>
              </w:rPr>
              <w:instrText xml:space="preserve"> PAGEREF _Toc78395752 \h </w:instrText>
            </w:r>
            <w:r w:rsidR="00377947">
              <w:rPr>
                <w:noProof/>
                <w:webHidden/>
              </w:rPr>
            </w:r>
            <w:r w:rsidR="00377947">
              <w:rPr>
                <w:noProof/>
                <w:webHidden/>
              </w:rPr>
              <w:fldChar w:fldCharType="separate"/>
            </w:r>
            <w:r w:rsidR="00377947">
              <w:rPr>
                <w:noProof/>
                <w:webHidden/>
              </w:rPr>
              <w:t>3</w:t>
            </w:r>
            <w:r w:rsidR="00377947">
              <w:rPr>
                <w:noProof/>
                <w:webHidden/>
              </w:rPr>
              <w:fldChar w:fldCharType="end"/>
            </w:r>
          </w:hyperlink>
        </w:p>
        <w:p w:rsidR="00377947" w:rsidRDefault="00A90E6E">
          <w:pPr>
            <w:pStyle w:val="Sadraj1"/>
            <w:tabs>
              <w:tab w:val="left" w:pos="440"/>
              <w:tab w:val="right" w:leader="dot" w:pos="9062"/>
            </w:tabs>
            <w:rPr>
              <w:rFonts w:eastAsiaTheme="minorEastAsia"/>
              <w:noProof/>
              <w:lang w:val="hr-HR" w:eastAsia="hr-HR"/>
            </w:rPr>
          </w:pPr>
          <w:hyperlink w:anchor="_Toc78395753" w:history="1">
            <w:r w:rsidR="00377947" w:rsidRPr="00D34179">
              <w:rPr>
                <w:rStyle w:val="Hiperveza"/>
                <w:noProof/>
                <w:lang w:val="hr-HR"/>
              </w:rPr>
              <w:t>1.</w:t>
            </w:r>
            <w:r w:rsidR="00377947">
              <w:rPr>
                <w:rFonts w:eastAsiaTheme="minorEastAsia"/>
                <w:noProof/>
                <w:lang w:val="hr-HR" w:eastAsia="hr-HR"/>
              </w:rPr>
              <w:tab/>
            </w:r>
            <w:r w:rsidR="00377947" w:rsidRPr="00D34179">
              <w:rPr>
                <w:rStyle w:val="Hiperveza"/>
                <w:noProof/>
                <w:lang w:val="hr-HR"/>
              </w:rPr>
              <w:t>UVOD</w:t>
            </w:r>
            <w:r w:rsidR="00377947">
              <w:rPr>
                <w:noProof/>
                <w:webHidden/>
              </w:rPr>
              <w:tab/>
            </w:r>
            <w:r w:rsidR="00377947">
              <w:rPr>
                <w:noProof/>
                <w:webHidden/>
              </w:rPr>
              <w:fldChar w:fldCharType="begin"/>
            </w:r>
            <w:r w:rsidR="00377947">
              <w:rPr>
                <w:noProof/>
                <w:webHidden/>
              </w:rPr>
              <w:instrText xml:space="preserve"> PAGEREF _Toc78395753 \h </w:instrText>
            </w:r>
            <w:r w:rsidR="00377947">
              <w:rPr>
                <w:noProof/>
                <w:webHidden/>
              </w:rPr>
            </w:r>
            <w:r w:rsidR="00377947">
              <w:rPr>
                <w:noProof/>
                <w:webHidden/>
              </w:rPr>
              <w:fldChar w:fldCharType="separate"/>
            </w:r>
            <w:r w:rsidR="00377947">
              <w:rPr>
                <w:noProof/>
                <w:webHidden/>
              </w:rPr>
              <w:t>4</w:t>
            </w:r>
            <w:r w:rsidR="00377947">
              <w:rPr>
                <w:noProof/>
                <w:webHidden/>
              </w:rPr>
              <w:fldChar w:fldCharType="end"/>
            </w:r>
          </w:hyperlink>
        </w:p>
        <w:p w:rsidR="00377947" w:rsidRDefault="00A90E6E">
          <w:pPr>
            <w:pStyle w:val="Sadraj1"/>
            <w:tabs>
              <w:tab w:val="left" w:pos="440"/>
              <w:tab w:val="right" w:leader="dot" w:pos="9062"/>
            </w:tabs>
            <w:rPr>
              <w:rFonts w:eastAsiaTheme="minorEastAsia"/>
              <w:noProof/>
              <w:lang w:val="hr-HR" w:eastAsia="hr-HR"/>
            </w:rPr>
          </w:pPr>
          <w:hyperlink w:anchor="_Toc78395754" w:history="1">
            <w:r w:rsidR="00377947" w:rsidRPr="00D34179">
              <w:rPr>
                <w:rStyle w:val="Hiperveza"/>
                <w:noProof/>
                <w:lang w:val="hr-HR"/>
              </w:rPr>
              <w:t>2.</w:t>
            </w:r>
            <w:r w:rsidR="00377947">
              <w:rPr>
                <w:rFonts w:eastAsiaTheme="minorEastAsia"/>
                <w:noProof/>
                <w:lang w:val="hr-HR" w:eastAsia="hr-HR"/>
              </w:rPr>
              <w:tab/>
            </w:r>
            <w:r w:rsidR="00377947" w:rsidRPr="00D34179">
              <w:rPr>
                <w:rStyle w:val="Hiperveza"/>
                <w:noProof/>
                <w:lang w:val="hr-HR"/>
              </w:rPr>
              <w:t>MAKROEKONOMSKI OKVIR U SREDNJOROČNOM RAZDOBLJU</w:t>
            </w:r>
            <w:r w:rsidR="00377947">
              <w:rPr>
                <w:noProof/>
                <w:webHidden/>
              </w:rPr>
              <w:tab/>
            </w:r>
            <w:r w:rsidR="00377947">
              <w:rPr>
                <w:noProof/>
                <w:webHidden/>
              </w:rPr>
              <w:fldChar w:fldCharType="begin"/>
            </w:r>
            <w:r w:rsidR="00377947">
              <w:rPr>
                <w:noProof/>
                <w:webHidden/>
              </w:rPr>
              <w:instrText xml:space="preserve"> PAGEREF _Toc78395754 \h </w:instrText>
            </w:r>
            <w:r w:rsidR="00377947">
              <w:rPr>
                <w:noProof/>
                <w:webHidden/>
              </w:rPr>
            </w:r>
            <w:r w:rsidR="00377947">
              <w:rPr>
                <w:noProof/>
                <w:webHidden/>
              </w:rPr>
              <w:fldChar w:fldCharType="separate"/>
            </w:r>
            <w:r w:rsidR="00377947">
              <w:rPr>
                <w:noProof/>
                <w:webHidden/>
              </w:rPr>
              <w:t>6</w:t>
            </w:r>
            <w:r w:rsidR="00377947">
              <w:rPr>
                <w:noProof/>
                <w:webHidden/>
              </w:rPr>
              <w:fldChar w:fldCharType="end"/>
            </w:r>
          </w:hyperlink>
        </w:p>
        <w:p w:rsidR="00377947" w:rsidRDefault="00A90E6E">
          <w:pPr>
            <w:pStyle w:val="Sadraj1"/>
            <w:tabs>
              <w:tab w:val="left" w:pos="440"/>
              <w:tab w:val="right" w:leader="dot" w:pos="9062"/>
            </w:tabs>
            <w:rPr>
              <w:rFonts w:eastAsiaTheme="minorEastAsia"/>
              <w:noProof/>
              <w:lang w:val="hr-HR" w:eastAsia="hr-HR"/>
            </w:rPr>
          </w:pPr>
          <w:hyperlink w:anchor="_Toc78395755" w:history="1">
            <w:r w:rsidR="00377947" w:rsidRPr="00D34179">
              <w:rPr>
                <w:rStyle w:val="Hiperveza"/>
                <w:noProof/>
                <w:lang w:val="hr-HR"/>
              </w:rPr>
              <w:t>3.</w:t>
            </w:r>
            <w:r w:rsidR="00377947">
              <w:rPr>
                <w:rFonts w:eastAsiaTheme="minorEastAsia"/>
                <w:noProof/>
                <w:lang w:val="hr-HR" w:eastAsia="hr-HR"/>
              </w:rPr>
              <w:tab/>
            </w:r>
            <w:r w:rsidR="00377947" w:rsidRPr="00D34179">
              <w:rPr>
                <w:rStyle w:val="Hiperveza"/>
                <w:noProof/>
                <w:lang w:val="hr-HR"/>
              </w:rPr>
              <w:t>FISKALNI OKVIR U SREDNJOROČNOM RAZDOBLJU</w:t>
            </w:r>
            <w:r w:rsidR="00377947">
              <w:rPr>
                <w:noProof/>
                <w:webHidden/>
              </w:rPr>
              <w:tab/>
            </w:r>
            <w:r w:rsidR="00377947">
              <w:rPr>
                <w:noProof/>
                <w:webHidden/>
              </w:rPr>
              <w:fldChar w:fldCharType="begin"/>
            </w:r>
            <w:r w:rsidR="00377947">
              <w:rPr>
                <w:noProof/>
                <w:webHidden/>
              </w:rPr>
              <w:instrText xml:space="preserve"> PAGEREF _Toc78395755 \h </w:instrText>
            </w:r>
            <w:r w:rsidR="00377947">
              <w:rPr>
                <w:noProof/>
                <w:webHidden/>
              </w:rPr>
            </w:r>
            <w:r w:rsidR="00377947">
              <w:rPr>
                <w:noProof/>
                <w:webHidden/>
              </w:rPr>
              <w:fldChar w:fldCharType="separate"/>
            </w:r>
            <w:r w:rsidR="00377947">
              <w:rPr>
                <w:noProof/>
                <w:webHidden/>
              </w:rPr>
              <w:t>10</w:t>
            </w:r>
            <w:r w:rsidR="00377947">
              <w:rPr>
                <w:noProof/>
                <w:webHidden/>
              </w:rPr>
              <w:fldChar w:fldCharType="end"/>
            </w:r>
          </w:hyperlink>
        </w:p>
        <w:p w:rsidR="00377947" w:rsidRDefault="00A90E6E">
          <w:pPr>
            <w:pStyle w:val="Sadraj2"/>
            <w:rPr>
              <w:rFonts w:eastAsiaTheme="minorEastAsia"/>
              <w:noProof/>
              <w:lang w:val="hr-HR" w:eastAsia="hr-HR"/>
            </w:rPr>
          </w:pPr>
          <w:hyperlink w:anchor="_Toc78395756" w:history="1">
            <w:r w:rsidR="00377947" w:rsidRPr="00D34179">
              <w:rPr>
                <w:rStyle w:val="Hiperveza"/>
                <w:noProof/>
                <w:lang w:val="hr-HR"/>
              </w:rPr>
              <w:t>3.1.</w:t>
            </w:r>
            <w:r w:rsidR="00377947">
              <w:rPr>
                <w:rFonts w:eastAsiaTheme="minorEastAsia"/>
                <w:noProof/>
                <w:lang w:val="hr-HR" w:eastAsia="hr-HR"/>
              </w:rPr>
              <w:tab/>
            </w:r>
            <w:r w:rsidR="00377947" w:rsidRPr="00D34179">
              <w:rPr>
                <w:rStyle w:val="Hiperveza"/>
                <w:noProof/>
                <w:lang w:val="hr-HR"/>
              </w:rPr>
              <w:t>Kretanje prihoda državnog proračuna u razdoblju 2022. – 2024.</w:t>
            </w:r>
            <w:r w:rsidR="00377947">
              <w:rPr>
                <w:noProof/>
                <w:webHidden/>
              </w:rPr>
              <w:tab/>
            </w:r>
            <w:r w:rsidR="00377947">
              <w:rPr>
                <w:noProof/>
                <w:webHidden/>
              </w:rPr>
              <w:fldChar w:fldCharType="begin"/>
            </w:r>
            <w:r w:rsidR="00377947">
              <w:rPr>
                <w:noProof/>
                <w:webHidden/>
              </w:rPr>
              <w:instrText xml:space="preserve"> PAGEREF _Toc78395756 \h </w:instrText>
            </w:r>
            <w:r w:rsidR="00377947">
              <w:rPr>
                <w:noProof/>
                <w:webHidden/>
              </w:rPr>
            </w:r>
            <w:r w:rsidR="00377947">
              <w:rPr>
                <w:noProof/>
                <w:webHidden/>
              </w:rPr>
              <w:fldChar w:fldCharType="separate"/>
            </w:r>
            <w:r w:rsidR="00377947">
              <w:rPr>
                <w:noProof/>
                <w:webHidden/>
              </w:rPr>
              <w:t>10</w:t>
            </w:r>
            <w:r w:rsidR="00377947">
              <w:rPr>
                <w:noProof/>
                <w:webHidden/>
              </w:rPr>
              <w:fldChar w:fldCharType="end"/>
            </w:r>
          </w:hyperlink>
        </w:p>
        <w:p w:rsidR="00377947" w:rsidRDefault="00A90E6E">
          <w:pPr>
            <w:pStyle w:val="Sadraj2"/>
            <w:rPr>
              <w:rFonts w:eastAsiaTheme="minorEastAsia"/>
              <w:noProof/>
              <w:lang w:val="hr-HR" w:eastAsia="hr-HR"/>
            </w:rPr>
          </w:pPr>
          <w:hyperlink w:anchor="_Toc78395757" w:history="1">
            <w:r w:rsidR="00377947" w:rsidRPr="00D34179">
              <w:rPr>
                <w:rStyle w:val="Hiperveza"/>
                <w:noProof/>
                <w:lang w:val="hr-HR"/>
              </w:rPr>
              <w:t>3.2.</w:t>
            </w:r>
            <w:r w:rsidR="00377947">
              <w:rPr>
                <w:rFonts w:eastAsiaTheme="minorEastAsia"/>
                <w:noProof/>
                <w:lang w:val="hr-HR" w:eastAsia="hr-HR"/>
              </w:rPr>
              <w:tab/>
            </w:r>
            <w:r w:rsidR="00377947" w:rsidRPr="00D34179">
              <w:rPr>
                <w:rStyle w:val="Hiperveza"/>
                <w:noProof/>
                <w:lang w:val="hr-HR"/>
              </w:rPr>
              <w:t>Kretanje rashoda državnog proračuna u razdoblju 2022. – 2024.</w:t>
            </w:r>
            <w:r w:rsidR="00377947">
              <w:rPr>
                <w:noProof/>
                <w:webHidden/>
              </w:rPr>
              <w:tab/>
            </w:r>
            <w:r w:rsidR="00377947">
              <w:rPr>
                <w:noProof/>
                <w:webHidden/>
              </w:rPr>
              <w:fldChar w:fldCharType="begin"/>
            </w:r>
            <w:r w:rsidR="00377947">
              <w:rPr>
                <w:noProof/>
                <w:webHidden/>
              </w:rPr>
              <w:instrText xml:space="preserve"> PAGEREF _Toc78395757 \h </w:instrText>
            </w:r>
            <w:r w:rsidR="00377947">
              <w:rPr>
                <w:noProof/>
                <w:webHidden/>
              </w:rPr>
            </w:r>
            <w:r w:rsidR="00377947">
              <w:rPr>
                <w:noProof/>
                <w:webHidden/>
              </w:rPr>
              <w:fldChar w:fldCharType="separate"/>
            </w:r>
            <w:r w:rsidR="00377947">
              <w:rPr>
                <w:noProof/>
                <w:webHidden/>
              </w:rPr>
              <w:t>12</w:t>
            </w:r>
            <w:r w:rsidR="00377947">
              <w:rPr>
                <w:noProof/>
                <w:webHidden/>
              </w:rPr>
              <w:fldChar w:fldCharType="end"/>
            </w:r>
          </w:hyperlink>
        </w:p>
        <w:p w:rsidR="00377947" w:rsidRDefault="00A90E6E">
          <w:pPr>
            <w:pStyle w:val="Sadraj2"/>
            <w:rPr>
              <w:rFonts w:eastAsiaTheme="minorEastAsia"/>
              <w:noProof/>
              <w:lang w:val="hr-HR" w:eastAsia="hr-HR"/>
            </w:rPr>
          </w:pPr>
          <w:hyperlink w:anchor="_Toc78395758" w:history="1">
            <w:r w:rsidR="00377947" w:rsidRPr="00D34179">
              <w:rPr>
                <w:rStyle w:val="Hiperveza"/>
                <w:noProof/>
                <w:lang w:val="hr-HR"/>
              </w:rPr>
              <w:t>3.3.</w:t>
            </w:r>
            <w:r w:rsidR="00377947">
              <w:rPr>
                <w:rFonts w:eastAsiaTheme="minorEastAsia"/>
                <w:noProof/>
                <w:lang w:val="hr-HR" w:eastAsia="hr-HR"/>
              </w:rPr>
              <w:tab/>
            </w:r>
            <w:r w:rsidR="00377947" w:rsidRPr="00D34179">
              <w:rPr>
                <w:rStyle w:val="Hiperveza"/>
                <w:noProof/>
                <w:lang w:val="hr-HR"/>
              </w:rPr>
              <w:t>Izvanproračunski korisnici državnog proračuna</w:t>
            </w:r>
            <w:r w:rsidR="00377947">
              <w:rPr>
                <w:noProof/>
                <w:webHidden/>
              </w:rPr>
              <w:tab/>
            </w:r>
            <w:r w:rsidR="00377947">
              <w:rPr>
                <w:noProof/>
                <w:webHidden/>
              </w:rPr>
              <w:fldChar w:fldCharType="begin"/>
            </w:r>
            <w:r w:rsidR="00377947">
              <w:rPr>
                <w:noProof/>
                <w:webHidden/>
              </w:rPr>
              <w:instrText xml:space="preserve"> PAGEREF _Toc78395758 \h </w:instrText>
            </w:r>
            <w:r w:rsidR="00377947">
              <w:rPr>
                <w:noProof/>
                <w:webHidden/>
              </w:rPr>
            </w:r>
            <w:r w:rsidR="00377947">
              <w:rPr>
                <w:noProof/>
                <w:webHidden/>
              </w:rPr>
              <w:fldChar w:fldCharType="separate"/>
            </w:r>
            <w:r w:rsidR="00377947">
              <w:rPr>
                <w:noProof/>
                <w:webHidden/>
              </w:rPr>
              <w:t>19</w:t>
            </w:r>
            <w:r w:rsidR="00377947">
              <w:rPr>
                <w:noProof/>
                <w:webHidden/>
              </w:rPr>
              <w:fldChar w:fldCharType="end"/>
            </w:r>
          </w:hyperlink>
        </w:p>
        <w:p w:rsidR="00377947" w:rsidRDefault="00A90E6E">
          <w:pPr>
            <w:pStyle w:val="Sadraj2"/>
            <w:rPr>
              <w:rFonts w:eastAsiaTheme="minorEastAsia"/>
              <w:noProof/>
              <w:lang w:val="hr-HR" w:eastAsia="hr-HR"/>
            </w:rPr>
          </w:pPr>
          <w:hyperlink w:anchor="_Toc78395759" w:history="1">
            <w:r w:rsidR="00377947" w:rsidRPr="00D34179">
              <w:rPr>
                <w:rStyle w:val="Hiperveza"/>
                <w:noProof/>
                <w:lang w:val="hr-HR"/>
              </w:rPr>
              <w:t>3.4.</w:t>
            </w:r>
            <w:r w:rsidR="00377947">
              <w:rPr>
                <w:rFonts w:eastAsiaTheme="minorEastAsia"/>
                <w:noProof/>
                <w:lang w:val="hr-HR" w:eastAsia="hr-HR"/>
              </w:rPr>
              <w:tab/>
            </w:r>
            <w:r w:rsidR="00377947" w:rsidRPr="00D34179">
              <w:rPr>
                <w:rStyle w:val="Hiperveza"/>
                <w:noProof/>
                <w:lang w:val="hr-HR"/>
              </w:rPr>
              <w:t>Manjak/višak konsolidirane opće države</w:t>
            </w:r>
            <w:r w:rsidR="00377947">
              <w:rPr>
                <w:noProof/>
                <w:webHidden/>
              </w:rPr>
              <w:tab/>
            </w:r>
            <w:r w:rsidR="00377947">
              <w:rPr>
                <w:noProof/>
                <w:webHidden/>
              </w:rPr>
              <w:fldChar w:fldCharType="begin"/>
            </w:r>
            <w:r w:rsidR="00377947">
              <w:rPr>
                <w:noProof/>
                <w:webHidden/>
              </w:rPr>
              <w:instrText xml:space="preserve"> PAGEREF _Toc78395759 \h </w:instrText>
            </w:r>
            <w:r w:rsidR="00377947">
              <w:rPr>
                <w:noProof/>
                <w:webHidden/>
              </w:rPr>
            </w:r>
            <w:r w:rsidR="00377947">
              <w:rPr>
                <w:noProof/>
                <w:webHidden/>
              </w:rPr>
              <w:fldChar w:fldCharType="separate"/>
            </w:r>
            <w:r w:rsidR="00377947">
              <w:rPr>
                <w:noProof/>
                <w:webHidden/>
              </w:rPr>
              <w:t>19</w:t>
            </w:r>
            <w:r w:rsidR="00377947">
              <w:rPr>
                <w:noProof/>
                <w:webHidden/>
              </w:rPr>
              <w:fldChar w:fldCharType="end"/>
            </w:r>
          </w:hyperlink>
        </w:p>
        <w:p w:rsidR="00377947" w:rsidRDefault="00A90E6E">
          <w:pPr>
            <w:pStyle w:val="Sadraj2"/>
            <w:rPr>
              <w:rFonts w:eastAsiaTheme="minorEastAsia"/>
              <w:noProof/>
              <w:lang w:val="hr-HR" w:eastAsia="hr-HR"/>
            </w:rPr>
          </w:pPr>
          <w:hyperlink w:anchor="_Toc78395760" w:history="1">
            <w:r w:rsidR="00377947" w:rsidRPr="00D34179">
              <w:rPr>
                <w:rStyle w:val="Hiperveza"/>
                <w:noProof/>
                <w:lang w:val="hr-HR"/>
              </w:rPr>
              <w:t>3.5.</w:t>
            </w:r>
            <w:r w:rsidR="00377947">
              <w:rPr>
                <w:rFonts w:eastAsiaTheme="minorEastAsia"/>
                <w:noProof/>
                <w:lang w:val="hr-HR" w:eastAsia="hr-HR"/>
              </w:rPr>
              <w:tab/>
            </w:r>
            <w:r w:rsidR="00377947" w:rsidRPr="00D34179">
              <w:rPr>
                <w:rStyle w:val="Hiperveza"/>
                <w:noProof/>
                <w:lang w:val="hr-HR"/>
              </w:rPr>
              <w:t>Stanje i projekcija kretanja javnog duga</w:t>
            </w:r>
            <w:r w:rsidR="00377947">
              <w:rPr>
                <w:noProof/>
                <w:webHidden/>
              </w:rPr>
              <w:tab/>
            </w:r>
            <w:r w:rsidR="00377947">
              <w:rPr>
                <w:noProof/>
                <w:webHidden/>
              </w:rPr>
              <w:fldChar w:fldCharType="begin"/>
            </w:r>
            <w:r w:rsidR="00377947">
              <w:rPr>
                <w:noProof/>
                <w:webHidden/>
              </w:rPr>
              <w:instrText xml:space="preserve"> PAGEREF _Toc78395760 \h </w:instrText>
            </w:r>
            <w:r w:rsidR="00377947">
              <w:rPr>
                <w:noProof/>
                <w:webHidden/>
              </w:rPr>
            </w:r>
            <w:r w:rsidR="00377947">
              <w:rPr>
                <w:noProof/>
                <w:webHidden/>
              </w:rPr>
              <w:fldChar w:fldCharType="separate"/>
            </w:r>
            <w:r w:rsidR="00377947">
              <w:rPr>
                <w:noProof/>
                <w:webHidden/>
              </w:rPr>
              <w:t>20</w:t>
            </w:r>
            <w:r w:rsidR="00377947">
              <w:rPr>
                <w:noProof/>
                <w:webHidden/>
              </w:rPr>
              <w:fldChar w:fldCharType="end"/>
            </w:r>
          </w:hyperlink>
        </w:p>
        <w:p w:rsidR="002302A5" w:rsidRDefault="002302A5">
          <w:r>
            <w:rPr>
              <w:b/>
              <w:bCs/>
            </w:rPr>
            <w:fldChar w:fldCharType="end"/>
          </w:r>
        </w:p>
      </w:sdtContent>
    </w:sdt>
    <w:p w:rsidR="00C34C9E" w:rsidRPr="00861A1A" w:rsidRDefault="00C34C9E" w:rsidP="00E52BDF">
      <w:pPr>
        <w:rPr>
          <w:lang w:val="hr-HR"/>
        </w:rPr>
      </w:pPr>
    </w:p>
    <w:p w:rsidR="00E52BDF" w:rsidRPr="00861A1A" w:rsidRDefault="00E52BDF" w:rsidP="00E52BDF">
      <w:pPr>
        <w:rPr>
          <w:lang w:val="hr-HR"/>
        </w:rPr>
      </w:pPr>
    </w:p>
    <w:p w:rsidR="00E52BDF" w:rsidRPr="00861A1A" w:rsidRDefault="00E52BDF" w:rsidP="00E52BDF">
      <w:pPr>
        <w:rPr>
          <w:highlight w:val="yellow"/>
          <w:lang w:val="hr-HR"/>
        </w:rPr>
        <w:sectPr w:rsidR="00E52BDF" w:rsidRPr="00861A1A">
          <w:pgSz w:w="11906" w:h="16838"/>
          <w:pgMar w:top="1417" w:right="1417" w:bottom="1417" w:left="1417" w:header="708" w:footer="708" w:gutter="0"/>
          <w:cols w:space="708"/>
          <w:docGrid w:linePitch="360"/>
        </w:sectPr>
      </w:pPr>
    </w:p>
    <w:p w:rsidR="00E52BDF" w:rsidRPr="00861A1A" w:rsidRDefault="00E52BDF" w:rsidP="00E52BDF">
      <w:pPr>
        <w:pStyle w:val="Naslov1"/>
        <w:rPr>
          <w:lang w:val="hr-HR"/>
        </w:rPr>
      </w:pPr>
      <w:bookmarkStart w:id="1" w:name="_Toc78395752"/>
      <w:r w:rsidRPr="00987F75">
        <w:rPr>
          <w:lang w:val="hr-HR"/>
        </w:rPr>
        <w:lastRenderedPageBreak/>
        <w:t>POPIS TABLICA</w:t>
      </w:r>
      <w:bookmarkEnd w:id="1"/>
    </w:p>
    <w:p w:rsidR="00E52BDF" w:rsidRPr="00861A1A" w:rsidRDefault="00E52BDF" w:rsidP="00E52BDF">
      <w:pPr>
        <w:rPr>
          <w:lang w:val="hr-HR"/>
        </w:rPr>
      </w:pPr>
    </w:p>
    <w:p w:rsidR="00CA1699" w:rsidRDefault="00C34C9E">
      <w:pPr>
        <w:pStyle w:val="Tablicaslika"/>
        <w:tabs>
          <w:tab w:val="right" w:leader="dot" w:pos="9062"/>
        </w:tabs>
        <w:rPr>
          <w:rFonts w:eastAsiaTheme="minorEastAsia"/>
          <w:noProof/>
          <w:lang w:val="hr-HR" w:eastAsia="hr-HR"/>
        </w:rPr>
      </w:pPr>
      <w:r w:rsidRPr="00861A1A">
        <w:rPr>
          <w:lang w:val="hr-HR"/>
        </w:rPr>
        <w:fldChar w:fldCharType="begin"/>
      </w:r>
      <w:r w:rsidRPr="00861A1A">
        <w:rPr>
          <w:lang w:val="hr-HR"/>
        </w:rPr>
        <w:instrText xml:space="preserve"> TOC \h \z \c "Tablica" </w:instrText>
      </w:r>
      <w:r w:rsidRPr="00861A1A">
        <w:rPr>
          <w:lang w:val="hr-HR"/>
        </w:rPr>
        <w:fldChar w:fldCharType="separate"/>
      </w:r>
      <w:hyperlink w:anchor="_Toc78394993" w:history="1">
        <w:r w:rsidR="00CA1699" w:rsidRPr="000362B4">
          <w:rPr>
            <w:rStyle w:val="Hiperveza"/>
            <w:rFonts w:ascii="Calibri" w:hAnsi="Calibri"/>
            <w:i/>
            <w:noProof/>
            <w:lang w:val="hr-HR"/>
          </w:rPr>
          <w:t>Tablica 1: Projekcije makroekonomskih pokazatelja Republike Hrvatske</w:t>
        </w:r>
        <w:r w:rsidR="00CA1699">
          <w:rPr>
            <w:noProof/>
            <w:webHidden/>
          </w:rPr>
          <w:tab/>
        </w:r>
        <w:r w:rsidR="00CA1699">
          <w:rPr>
            <w:noProof/>
            <w:webHidden/>
          </w:rPr>
          <w:fldChar w:fldCharType="begin"/>
        </w:r>
        <w:r w:rsidR="00CA1699">
          <w:rPr>
            <w:noProof/>
            <w:webHidden/>
          </w:rPr>
          <w:instrText xml:space="preserve"> PAGEREF _Toc78394993 \h </w:instrText>
        </w:r>
        <w:r w:rsidR="00CA1699">
          <w:rPr>
            <w:noProof/>
            <w:webHidden/>
          </w:rPr>
        </w:r>
        <w:r w:rsidR="00CA1699">
          <w:rPr>
            <w:noProof/>
            <w:webHidden/>
          </w:rPr>
          <w:fldChar w:fldCharType="separate"/>
        </w:r>
        <w:r w:rsidR="00F17D56">
          <w:rPr>
            <w:noProof/>
            <w:webHidden/>
          </w:rPr>
          <w:t>6</w:t>
        </w:r>
        <w:r w:rsidR="00CA1699">
          <w:rPr>
            <w:noProof/>
            <w:webHidden/>
          </w:rPr>
          <w:fldChar w:fldCharType="end"/>
        </w:r>
      </w:hyperlink>
    </w:p>
    <w:p w:rsidR="00CA1699" w:rsidRDefault="00A90E6E">
      <w:pPr>
        <w:pStyle w:val="Tablicaslika"/>
        <w:tabs>
          <w:tab w:val="right" w:leader="dot" w:pos="9062"/>
        </w:tabs>
        <w:rPr>
          <w:rFonts w:eastAsiaTheme="minorEastAsia"/>
          <w:noProof/>
          <w:lang w:val="hr-HR" w:eastAsia="hr-HR"/>
        </w:rPr>
      </w:pPr>
      <w:hyperlink w:anchor="_Toc78394994" w:history="1">
        <w:r w:rsidR="00CA1699" w:rsidRPr="000362B4">
          <w:rPr>
            <w:rStyle w:val="Hiperveza"/>
            <w:rFonts w:ascii="Calibri" w:hAnsi="Calibri"/>
            <w:i/>
            <w:noProof/>
            <w:lang w:val="hr-HR"/>
          </w:rPr>
          <w:t>Tablica 2: Kretanje prihoda državnog proračuna u razdoblju 2020. – 2024.</w:t>
        </w:r>
        <w:r w:rsidR="00CA1699">
          <w:rPr>
            <w:noProof/>
            <w:webHidden/>
          </w:rPr>
          <w:tab/>
        </w:r>
        <w:r w:rsidR="00CA1699">
          <w:rPr>
            <w:noProof/>
            <w:webHidden/>
          </w:rPr>
          <w:fldChar w:fldCharType="begin"/>
        </w:r>
        <w:r w:rsidR="00CA1699">
          <w:rPr>
            <w:noProof/>
            <w:webHidden/>
          </w:rPr>
          <w:instrText xml:space="preserve"> PAGEREF _Toc78394994 \h </w:instrText>
        </w:r>
        <w:r w:rsidR="00CA1699">
          <w:rPr>
            <w:noProof/>
            <w:webHidden/>
          </w:rPr>
        </w:r>
        <w:r w:rsidR="00CA1699">
          <w:rPr>
            <w:noProof/>
            <w:webHidden/>
          </w:rPr>
          <w:fldChar w:fldCharType="separate"/>
        </w:r>
        <w:r w:rsidR="00F17D56">
          <w:rPr>
            <w:noProof/>
            <w:webHidden/>
          </w:rPr>
          <w:t>12</w:t>
        </w:r>
        <w:r w:rsidR="00CA1699">
          <w:rPr>
            <w:noProof/>
            <w:webHidden/>
          </w:rPr>
          <w:fldChar w:fldCharType="end"/>
        </w:r>
      </w:hyperlink>
    </w:p>
    <w:p w:rsidR="00CA1699" w:rsidRDefault="00A90E6E">
      <w:pPr>
        <w:pStyle w:val="Tablicaslika"/>
        <w:tabs>
          <w:tab w:val="right" w:leader="dot" w:pos="9062"/>
        </w:tabs>
        <w:rPr>
          <w:rFonts w:eastAsiaTheme="minorEastAsia"/>
          <w:noProof/>
          <w:lang w:val="hr-HR" w:eastAsia="hr-HR"/>
        </w:rPr>
      </w:pPr>
      <w:hyperlink w:anchor="_Toc78394995" w:history="1">
        <w:r w:rsidR="00CA1699" w:rsidRPr="000362B4">
          <w:rPr>
            <w:rStyle w:val="Hiperveza"/>
            <w:rFonts w:ascii="Calibri" w:eastAsia="Times New Roman" w:hAnsi="Calibri" w:cs="Times New Roman"/>
            <w:bCs/>
            <w:i/>
            <w:noProof/>
            <w:lang w:val="hr-HR"/>
          </w:rPr>
          <w:t>Tablica 3: Kretanje rashoda državnog proračuna koji se financiraju iz općih prihoda i primitaka, doprinosa i namjenskih primitaka u razdoblju 2020. – 2024.</w:t>
        </w:r>
        <w:r w:rsidR="00CA1699">
          <w:rPr>
            <w:noProof/>
            <w:webHidden/>
          </w:rPr>
          <w:tab/>
        </w:r>
        <w:r w:rsidR="00CA1699">
          <w:rPr>
            <w:noProof/>
            <w:webHidden/>
          </w:rPr>
          <w:fldChar w:fldCharType="begin"/>
        </w:r>
        <w:r w:rsidR="00CA1699">
          <w:rPr>
            <w:noProof/>
            <w:webHidden/>
          </w:rPr>
          <w:instrText xml:space="preserve"> PAGEREF _Toc78394995 \h </w:instrText>
        </w:r>
        <w:r w:rsidR="00CA1699">
          <w:rPr>
            <w:noProof/>
            <w:webHidden/>
          </w:rPr>
        </w:r>
        <w:r w:rsidR="00CA1699">
          <w:rPr>
            <w:noProof/>
            <w:webHidden/>
          </w:rPr>
          <w:fldChar w:fldCharType="separate"/>
        </w:r>
        <w:r w:rsidR="00F17D56">
          <w:rPr>
            <w:noProof/>
            <w:webHidden/>
          </w:rPr>
          <w:t>13</w:t>
        </w:r>
        <w:r w:rsidR="00CA1699">
          <w:rPr>
            <w:noProof/>
            <w:webHidden/>
          </w:rPr>
          <w:fldChar w:fldCharType="end"/>
        </w:r>
      </w:hyperlink>
    </w:p>
    <w:p w:rsidR="00CA1699" w:rsidRDefault="00A90E6E">
      <w:pPr>
        <w:pStyle w:val="Tablicaslika"/>
        <w:tabs>
          <w:tab w:val="right" w:leader="dot" w:pos="9062"/>
        </w:tabs>
        <w:rPr>
          <w:rFonts w:eastAsiaTheme="minorEastAsia"/>
          <w:noProof/>
          <w:lang w:val="hr-HR" w:eastAsia="hr-HR"/>
        </w:rPr>
      </w:pPr>
      <w:hyperlink w:anchor="_Toc78394996" w:history="1">
        <w:r w:rsidR="00CA1699" w:rsidRPr="000362B4">
          <w:rPr>
            <w:rStyle w:val="Hiperveza"/>
            <w:rFonts w:ascii="Calibri" w:eastAsia="Times New Roman" w:hAnsi="Calibri" w:cs="Times New Roman"/>
            <w:bCs/>
            <w:i/>
            <w:noProof/>
            <w:lang w:val="hr-HR"/>
          </w:rPr>
          <w:t>Tablica 4: Kretanje rashoda državnog proračuna koji se financiraju iz vlastitih prihoda, prihoda za posebne namjene, pomoći i donacija u razdoblju 2020. – 2024.</w:t>
        </w:r>
        <w:r w:rsidR="00CA1699">
          <w:rPr>
            <w:noProof/>
            <w:webHidden/>
          </w:rPr>
          <w:tab/>
        </w:r>
        <w:r w:rsidR="00CA1699">
          <w:rPr>
            <w:noProof/>
            <w:webHidden/>
          </w:rPr>
          <w:fldChar w:fldCharType="begin"/>
        </w:r>
        <w:r w:rsidR="00CA1699">
          <w:rPr>
            <w:noProof/>
            <w:webHidden/>
          </w:rPr>
          <w:instrText xml:space="preserve"> PAGEREF _Toc78394996 \h </w:instrText>
        </w:r>
        <w:r w:rsidR="00CA1699">
          <w:rPr>
            <w:noProof/>
            <w:webHidden/>
          </w:rPr>
        </w:r>
        <w:r w:rsidR="00CA1699">
          <w:rPr>
            <w:noProof/>
            <w:webHidden/>
          </w:rPr>
          <w:fldChar w:fldCharType="separate"/>
        </w:r>
        <w:r w:rsidR="00F17D56">
          <w:rPr>
            <w:noProof/>
            <w:webHidden/>
          </w:rPr>
          <w:t>13</w:t>
        </w:r>
        <w:r w:rsidR="00CA1699">
          <w:rPr>
            <w:noProof/>
            <w:webHidden/>
          </w:rPr>
          <w:fldChar w:fldCharType="end"/>
        </w:r>
      </w:hyperlink>
    </w:p>
    <w:p w:rsidR="00CA1699" w:rsidRDefault="00A90E6E">
      <w:pPr>
        <w:pStyle w:val="Tablicaslika"/>
        <w:tabs>
          <w:tab w:val="right" w:leader="dot" w:pos="9062"/>
        </w:tabs>
        <w:rPr>
          <w:rFonts w:eastAsiaTheme="minorEastAsia"/>
          <w:noProof/>
          <w:lang w:val="hr-HR" w:eastAsia="hr-HR"/>
        </w:rPr>
      </w:pPr>
      <w:hyperlink w:anchor="_Toc78394997" w:history="1">
        <w:r w:rsidR="00CA1699" w:rsidRPr="000362B4">
          <w:rPr>
            <w:rStyle w:val="Hiperveza"/>
            <w:rFonts w:ascii="Calibri" w:eastAsia="Times New Roman" w:hAnsi="Calibri" w:cs="Times New Roman"/>
            <w:bCs/>
            <w:i/>
            <w:noProof/>
            <w:lang w:val="hr-HR"/>
          </w:rPr>
          <w:t>Tablica 5: Kretanje ukupnih rashoda državnog proračuna u razdoblju 2020. – 2024.</w:t>
        </w:r>
        <w:r w:rsidR="00CA1699">
          <w:rPr>
            <w:noProof/>
            <w:webHidden/>
          </w:rPr>
          <w:tab/>
        </w:r>
        <w:r w:rsidR="00CA1699">
          <w:rPr>
            <w:noProof/>
            <w:webHidden/>
          </w:rPr>
          <w:fldChar w:fldCharType="begin"/>
        </w:r>
        <w:r w:rsidR="00CA1699">
          <w:rPr>
            <w:noProof/>
            <w:webHidden/>
          </w:rPr>
          <w:instrText xml:space="preserve"> PAGEREF _Toc78394997 \h </w:instrText>
        </w:r>
        <w:r w:rsidR="00CA1699">
          <w:rPr>
            <w:noProof/>
            <w:webHidden/>
          </w:rPr>
        </w:r>
        <w:r w:rsidR="00CA1699">
          <w:rPr>
            <w:noProof/>
            <w:webHidden/>
          </w:rPr>
          <w:fldChar w:fldCharType="separate"/>
        </w:r>
        <w:r w:rsidR="00F17D56">
          <w:rPr>
            <w:noProof/>
            <w:webHidden/>
          </w:rPr>
          <w:t>14</w:t>
        </w:r>
        <w:r w:rsidR="00CA1699">
          <w:rPr>
            <w:noProof/>
            <w:webHidden/>
          </w:rPr>
          <w:fldChar w:fldCharType="end"/>
        </w:r>
      </w:hyperlink>
    </w:p>
    <w:p w:rsidR="00CA1699" w:rsidRDefault="00A90E6E">
      <w:pPr>
        <w:pStyle w:val="Tablicaslika"/>
        <w:tabs>
          <w:tab w:val="right" w:leader="dot" w:pos="9062"/>
        </w:tabs>
        <w:rPr>
          <w:rFonts w:eastAsiaTheme="minorEastAsia"/>
          <w:noProof/>
          <w:lang w:val="hr-HR" w:eastAsia="hr-HR"/>
        </w:rPr>
      </w:pPr>
      <w:hyperlink w:anchor="_Toc78394998" w:history="1">
        <w:r w:rsidR="00CA1699" w:rsidRPr="000362B4">
          <w:rPr>
            <w:rStyle w:val="Hiperveza"/>
            <w:rFonts w:ascii="Calibri" w:eastAsia="Times New Roman" w:hAnsi="Calibri" w:cs="Times New Roman"/>
            <w:i/>
            <w:noProof/>
            <w:lang w:val="hr-HR"/>
          </w:rPr>
          <w:t>Tablica 6: Limiti ukupnih rashoda po razdjelima državnog proračuna za izvore financiranja: opći prihodi i primici, doprinosi i namjenski primici za razdoblje 2022. – 2024.</w:t>
        </w:r>
        <w:r w:rsidR="00CA1699">
          <w:rPr>
            <w:noProof/>
            <w:webHidden/>
          </w:rPr>
          <w:tab/>
        </w:r>
        <w:r w:rsidR="00CA1699">
          <w:rPr>
            <w:noProof/>
            <w:webHidden/>
          </w:rPr>
          <w:fldChar w:fldCharType="begin"/>
        </w:r>
        <w:r w:rsidR="00CA1699">
          <w:rPr>
            <w:noProof/>
            <w:webHidden/>
          </w:rPr>
          <w:instrText xml:space="preserve"> PAGEREF _Toc78394998 \h </w:instrText>
        </w:r>
        <w:r w:rsidR="00CA1699">
          <w:rPr>
            <w:noProof/>
            <w:webHidden/>
          </w:rPr>
        </w:r>
        <w:r w:rsidR="00CA1699">
          <w:rPr>
            <w:noProof/>
            <w:webHidden/>
          </w:rPr>
          <w:fldChar w:fldCharType="separate"/>
        </w:r>
        <w:r w:rsidR="00F17D56">
          <w:rPr>
            <w:noProof/>
            <w:webHidden/>
          </w:rPr>
          <w:t>18</w:t>
        </w:r>
        <w:r w:rsidR="00CA1699">
          <w:rPr>
            <w:noProof/>
            <w:webHidden/>
          </w:rPr>
          <w:fldChar w:fldCharType="end"/>
        </w:r>
      </w:hyperlink>
    </w:p>
    <w:p w:rsidR="00CA1699" w:rsidRDefault="00A90E6E">
      <w:pPr>
        <w:pStyle w:val="Tablicaslika"/>
        <w:tabs>
          <w:tab w:val="right" w:leader="dot" w:pos="9062"/>
        </w:tabs>
        <w:rPr>
          <w:rFonts w:eastAsiaTheme="minorEastAsia"/>
          <w:noProof/>
          <w:lang w:val="hr-HR" w:eastAsia="hr-HR"/>
        </w:rPr>
      </w:pPr>
      <w:hyperlink w:anchor="_Toc78394999" w:history="1">
        <w:r w:rsidR="00CA1699" w:rsidRPr="000362B4">
          <w:rPr>
            <w:rStyle w:val="Hiperveza"/>
            <w:rFonts w:ascii="Calibri" w:hAnsi="Calibri"/>
            <w:i/>
            <w:noProof/>
            <w:lang w:val="hr-HR"/>
          </w:rPr>
          <w:t>Tablica 7: Manjak/višak izvanproračunskih korisnika</w:t>
        </w:r>
        <w:r w:rsidR="00CA1699">
          <w:rPr>
            <w:noProof/>
            <w:webHidden/>
          </w:rPr>
          <w:tab/>
        </w:r>
        <w:r w:rsidR="00CA1699">
          <w:rPr>
            <w:noProof/>
            <w:webHidden/>
          </w:rPr>
          <w:fldChar w:fldCharType="begin"/>
        </w:r>
        <w:r w:rsidR="00CA1699">
          <w:rPr>
            <w:noProof/>
            <w:webHidden/>
          </w:rPr>
          <w:instrText xml:space="preserve"> PAGEREF _Toc78394999 \h </w:instrText>
        </w:r>
        <w:r w:rsidR="00CA1699">
          <w:rPr>
            <w:noProof/>
            <w:webHidden/>
          </w:rPr>
        </w:r>
        <w:r w:rsidR="00CA1699">
          <w:rPr>
            <w:noProof/>
            <w:webHidden/>
          </w:rPr>
          <w:fldChar w:fldCharType="separate"/>
        </w:r>
        <w:r w:rsidR="00F17D56">
          <w:rPr>
            <w:noProof/>
            <w:webHidden/>
          </w:rPr>
          <w:t>19</w:t>
        </w:r>
        <w:r w:rsidR="00CA1699">
          <w:rPr>
            <w:noProof/>
            <w:webHidden/>
          </w:rPr>
          <w:fldChar w:fldCharType="end"/>
        </w:r>
      </w:hyperlink>
    </w:p>
    <w:p w:rsidR="00CA1699" w:rsidRDefault="00A90E6E">
      <w:pPr>
        <w:pStyle w:val="Tablicaslika"/>
        <w:tabs>
          <w:tab w:val="right" w:leader="dot" w:pos="9062"/>
        </w:tabs>
        <w:rPr>
          <w:rFonts w:eastAsiaTheme="minorEastAsia"/>
          <w:noProof/>
          <w:lang w:val="hr-HR" w:eastAsia="hr-HR"/>
        </w:rPr>
      </w:pPr>
      <w:hyperlink w:anchor="_Toc78395000" w:history="1">
        <w:r w:rsidR="00CA1699" w:rsidRPr="000362B4">
          <w:rPr>
            <w:rStyle w:val="Hiperveza"/>
            <w:rFonts w:ascii="Calibri" w:hAnsi="Calibri"/>
            <w:i/>
            <w:noProof/>
            <w:lang w:val="hr-HR"/>
          </w:rPr>
          <w:t>Tablica 8: Manjak/višak općeg proračuna u razdoblju 2020. – 2024., nacionalna i ESA 2010 metodologija</w:t>
        </w:r>
        <w:r w:rsidR="00CA1699">
          <w:rPr>
            <w:noProof/>
            <w:webHidden/>
          </w:rPr>
          <w:tab/>
        </w:r>
        <w:r w:rsidR="00CA1699">
          <w:rPr>
            <w:noProof/>
            <w:webHidden/>
          </w:rPr>
          <w:fldChar w:fldCharType="begin"/>
        </w:r>
        <w:r w:rsidR="00CA1699">
          <w:rPr>
            <w:noProof/>
            <w:webHidden/>
          </w:rPr>
          <w:instrText xml:space="preserve"> PAGEREF _Toc78395000 \h </w:instrText>
        </w:r>
        <w:r w:rsidR="00CA1699">
          <w:rPr>
            <w:noProof/>
            <w:webHidden/>
          </w:rPr>
        </w:r>
        <w:r w:rsidR="00CA1699">
          <w:rPr>
            <w:noProof/>
            <w:webHidden/>
          </w:rPr>
          <w:fldChar w:fldCharType="separate"/>
        </w:r>
        <w:r w:rsidR="00F17D56">
          <w:rPr>
            <w:noProof/>
            <w:webHidden/>
          </w:rPr>
          <w:t>19</w:t>
        </w:r>
        <w:r w:rsidR="00CA1699">
          <w:rPr>
            <w:noProof/>
            <w:webHidden/>
          </w:rPr>
          <w:fldChar w:fldCharType="end"/>
        </w:r>
      </w:hyperlink>
    </w:p>
    <w:p w:rsidR="00E52BDF" w:rsidRPr="00861A1A" w:rsidRDefault="00C34C9E" w:rsidP="00633C87">
      <w:pPr>
        <w:spacing w:after="120"/>
        <w:jc w:val="both"/>
        <w:rPr>
          <w:highlight w:val="yellow"/>
          <w:lang w:val="hr-HR"/>
        </w:rPr>
      </w:pPr>
      <w:r w:rsidRPr="00861A1A">
        <w:rPr>
          <w:lang w:val="hr-HR"/>
        </w:rPr>
        <w:fldChar w:fldCharType="end"/>
      </w:r>
    </w:p>
    <w:p w:rsidR="00E52BDF" w:rsidRPr="00861A1A" w:rsidRDefault="00E52BDF" w:rsidP="00E52BDF">
      <w:pPr>
        <w:rPr>
          <w:highlight w:val="yellow"/>
          <w:lang w:val="hr-HR"/>
        </w:rPr>
      </w:pPr>
    </w:p>
    <w:p w:rsidR="00E52BDF" w:rsidRPr="00861A1A" w:rsidRDefault="00E52BDF" w:rsidP="00E52BDF">
      <w:pPr>
        <w:rPr>
          <w:highlight w:val="yellow"/>
          <w:lang w:val="hr-HR"/>
        </w:rPr>
        <w:sectPr w:rsidR="00E52BDF" w:rsidRPr="00861A1A">
          <w:pgSz w:w="11906" w:h="16838"/>
          <w:pgMar w:top="1417" w:right="1417" w:bottom="1417" w:left="1417" w:header="708" w:footer="708" w:gutter="0"/>
          <w:cols w:space="708"/>
          <w:docGrid w:linePitch="360"/>
        </w:sectPr>
      </w:pPr>
    </w:p>
    <w:p w:rsidR="00E52BDF" w:rsidRPr="00265909" w:rsidRDefault="00E52BDF" w:rsidP="00E52BDF">
      <w:pPr>
        <w:pStyle w:val="Naslov1"/>
        <w:numPr>
          <w:ilvl w:val="0"/>
          <w:numId w:val="1"/>
        </w:numPr>
        <w:rPr>
          <w:lang w:val="hr-HR"/>
        </w:rPr>
      </w:pPr>
      <w:bookmarkStart w:id="2" w:name="_Toc78395753"/>
      <w:r w:rsidRPr="00265909">
        <w:rPr>
          <w:lang w:val="hr-HR"/>
        </w:rPr>
        <w:lastRenderedPageBreak/>
        <w:t>UVOD</w:t>
      </w:r>
      <w:bookmarkEnd w:id="2"/>
      <w:r w:rsidRPr="00265909">
        <w:rPr>
          <w:lang w:val="hr-HR"/>
        </w:rPr>
        <w:t xml:space="preserve">   </w:t>
      </w:r>
    </w:p>
    <w:p w:rsidR="00EB1979" w:rsidRPr="00574FD0" w:rsidRDefault="00EB1979" w:rsidP="000D782C">
      <w:pPr>
        <w:jc w:val="both"/>
        <w:rPr>
          <w:highlight w:val="yellow"/>
          <w:lang w:val="hr-HR"/>
        </w:rPr>
      </w:pPr>
    </w:p>
    <w:p w:rsidR="00E52BDF" w:rsidRPr="00265909" w:rsidRDefault="000D782C" w:rsidP="00EB1979">
      <w:pPr>
        <w:jc w:val="both"/>
        <w:rPr>
          <w:lang w:val="hr-HR"/>
        </w:rPr>
      </w:pPr>
      <w:r w:rsidRPr="00265909">
        <w:rPr>
          <w:lang w:val="hr-HR"/>
        </w:rPr>
        <w:t xml:space="preserve">Smjernice </w:t>
      </w:r>
      <w:r w:rsidR="00A90E6E" w:rsidRPr="00A90E6E">
        <w:rPr>
          <w:lang w:val="hr-HR"/>
        </w:rPr>
        <w:t xml:space="preserve">ekonomske i fiskalne politike za razdoblje 2022. </w:t>
      </w:r>
      <w:r w:rsidR="00A90E6E">
        <w:rPr>
          <w:lang w:val="hr-HR"/>
        </w:rPr>
        <w:t>-</w:t>
      </w:r>
      <w:bookmarkStart w:id="3" w:name="_GoBack"/>
      <w:bookmarkEnd w:id="3"/>
      <w:r w:rsidR="00A90E6E" w:rsidRPr="00A90E6E">
        <w:rPr>
          <w:lang w:val="hr-HR"/>
        </w:rPr>
        <w:t xml:space="preserve"> 2024.</w:t>
      </w:r>
      <w:r w:rsidR="00A90E6E">
        <w:rPr>
          <w:lang w:val="hr-HR"/>
        </w:rPr>
        <w:t xml:space="preserve"> </w:t>
      </w:r>
      <w:r w:rsidRPr="00265909">
        <w:rPr>
          <w:lang w:val="hr-HR"/>
        </w:rPr>
        <w:t>sadrže: makroekonomski i fiskalni okvir RH</w:t>
      </w:r>
      <w:r w:rsidR="007A4FBB" w:rsidRPr="00265909">
        <w:rPr>
          <w:lang w:val="hr-HR"/>
        </w:rPr>
        <w:t xml:space="preserve">, </w:t>
      </w:r>
      <w:r w:rsidRPr="00265909">
        <w:rPr>
          <w:lang w:val="hr-HR"/>
        </w:rPr>
        <w:t>visinu financijskog plana državnog proračuna po razdjelima organizacijske klasifikacije za prethodnu i tekuću proračunsku godinu, kao i visinu financijskog plana u narednom trogodišnjem razdoblju. Financijski plan obuhvaća visinu sredstava potrebnih za provedbu postojećih programa odnosno aktivnosti koje proizlaze iz trenutno važećih propisa te visinu sredstava potrebnih za uvođenje i provedbu novih ili promjenu postojećih programa odnosno aktivnosti. Smjernice također sadrže i ciljane vrijednosti salda kojih se izvanproračunski korisnici, odnosno trgovačka društva i druge pravne osobe koja ulaze u obuhvat sektora opće države, trebaju pridržavati u nadolazećem srednjoročnom razdoblju.</w:t>
      </w:r>
    </w:p>
    <w:p w:rsidR="00987F75" w:rsidRPr="00574FD0" w:rsidRDefault="00CC2A36" w:rsidP="006872F5">
      <w:pPr>
        <w:spacing w:afterLines="120" w:after="288"/>
        <w:jc w:val="both"/>
        <w:rPr>
          <w:rFonts w:eastAsia="Calibri" w:cs="Times New Roman"/>
          <w:highlight w:val="yellow"/>
          <w:lang w:val="hr-HR"/>
        </w:rPr>
      </w:pPr>
      <w:r w:rsidRPr="00786858">
        <w:rPr>
          <w:lang w:val="hr-HR"/>
        </w:rPr>
        <w:t xml:space="preserve">U srednjoročnom razdoblju očekuje se snažan oporavak gospodarske aktivnosti </w:t>
      </w:r>
      <w:r w:rsidR="00DE2013">
        <w:rPr>
          <w:lang w:val="hr-HR"/>
        </w:rPr>
        <w:t xml:space="preserve">na </w:t>
      </w:r>
      <w:r w:rsidRPr="00786858">
        <w:rPr>
          <w:lang w:val="hr-HR"/>
        </w:rPr>
        <w:t xml:space="preserve">koji </w:t>
      </w:r>
      <w:r w:rsidR="00DE2013">
        <w:rPr>
          <w:lang w:val="hr-HR"/>
        </w:rPr>
        <w:t>će utjecati</w:t>
      </w:r>
      <w:r w:rsidRPr="00786858">
        <w:rPr>
          <w:lang w:val="hr-HR"/>
        </w:rPr>
        <w:t xml:space="preserve"> i </w:t>
      </w:r>
      <w:r w:rsidRPr="00C43681">
        <w:rPr>
          <w:lang w:val="hr-HR"/>
        </w:rPr>
        <w:t>pozitivn</w:t>
      </w:r>
      <w:r w:rsidR="00DE2013">
        <w:rPr>
          <w:lang w:val="hr-HR"/>
        </w:rPr>
        <w:t>i</w:t>
      </w:r>
      <w:r w:rsidRPr="00C43681">
        <w:rPr>
          <w:lang w:val="hr-HR"/>
        </w:rPr>
        <w:t xml:space="preserve"> učin</w:t>
      </w:r>
      <w:r w:rsidR="00DE2013">
        <w:rPr>
          <w:lang w:val="hr-HR"/>
        </w:rPr>
        <w:t>ci</w:t>
      </w:r>
      <w:r w:rsidRPr="00C43681">
        <w:rPr>
          <w:lang w:val="hr-HR"/>
        </w:rPr>
        <w:t xml:space="preserve"> </w:t>
      </w:r>
      <w:r w:rsidR="0084750A">
        <w:rPr>
          <w:lang w:val="hr-HR"/>
        </w:rPr>
        <w:t>Nacionalnog plana oporavka i otpornosti 2021. - 2026. (dalje u tekstu: NPOO)</w:t>
      </w:r>
      <w:r w:rsidRPr="00C43681">
        <w:rPr>
          <w:lang w:val="hr-HR"/>
        </w:rPr>
        <w:t xml:space="preserve">. </w:t>
      </w:r>
      <w:r w:rsidR="007A4FBB" w:rsidRPr="00B55971">
        <w:rPr>
          <w:rFonts w:eastAsia="Calibri" w:cs="Times New Roman"/>
          <w:lang w:val="hr-HR"/>
        </w:rPr>
        <w:t>U 202</w:t>
      </w:r>
      <w:r w:rsidR="00B55971" w:rsidRPr="00B55971">
        <w:rPr>
          <w:rFonts w:eastAsia="Calibri" w:cs="Times New Roman"/>
          <w:lang w:val="hr-HR"/>
        </w:rPr>
        <w:t>2</w:t>
      </w:r>
      <w:r w:rsidR="007A4FBB" w:rsidRPr="00B55971">
        <w:rPr>
          <w:rFonts w:eastAsia="Calibri" w:cs="Times New Roman"/>
          <w:lang w:val="hr-HR"/>
        </w:rPr>
        <w:t>. o</w:t>
      </w:r>
      <w:r w:rsidR="00B55971" w:rsidRPr="00B55971">
        <w:rPr>
          <w:rFonts w:eastAsia="Calibri" w:cs="Times New Roman"/>
          <w:lang w:val="hr-HR"/>
        </w:rPr>
        <w:t>čekuje se realni rast BDP-a od 6,6</w:t>
      </w:r>
      <w:r w:rsidR="007A4FBB" w:rsidRPr="00B55971">
        <w:rPr>
          <w:rFonts w:eastAsia="Calibri" w:cs="Times New Roman"/>
          <w:lang w:val="hr-HR"/>
        </w:rPr>
        <w:t xml:space="preserve">%, kojega će pratiti rast od </w:t>
      </w:r>
      <w:r w:rsidR="00B55971" w:rsidRPr="00B55971">
        <w:rPr>
          <w:rFonts w:eastAsia="Calibri" w:cs="Times New Roman"/>
          <w:lang w:val="hr-HR"/>
        </w:rPr>
        <w:t>4</w:t>
      </w:r>
      <w:r w:rsidR="007A4FBB" w:rsidRPr="00B55971">
        <w:rPr>
          <w:rFonts w:eastAsia="Calibri" w:cs="Times New Roman"/>
          <w:lang w:val="hr-HR"/>
        </w:rPr>
        <w:t>,</w:t>
      </w:r>
      <w:r w:rsidR="00B55971" w:rsidRPr="00B55971">
        <w:rPr>
          <w:rFonts w:eastAsia="Calibri" w:cs="Times New Roman"/>
          <w:lang w:val="hr-HR"/>
        </w:rPr>
        <w:t>1</w:t>
      </w:r>
      <w:r w:rsidR="007A4FBB" w:rsidRPr="00B55971">
        <w:rPr>
          <w:rFonts w:eastAsia="Calibri" w:cs="Times New Roman"/>
          <w:lang w:val="hr-HR"/>
        </w:rPr>
        <w:t>% u 202</w:t>
      </w:r>
      <w:r w:rsidR="00B55971" w:rsidRPr="00B55971">
        <w:rPr>
          <w:rFonts w:eastAsia="Calibri" w:cs="Times New Roman"/>
          <w:lang w:val="hr-HR"/>
        </w:rPr>
        <w:t>3</w:t>
      </w:r>
      <w:r w:rsidR="007A4FBB" w:rsidRPr="00B55971">
        <w:rPr>
          <w:rFonts w:eastAsia="Calibri" w:cs="Times New Roman"/>
          <w:lang w:val="hr-HR"/>
        </w:rPr>
        <w:t>. te 3,</w:t>
      </w:r>
      <w:r w:rsidR="00B55971" w:rsidRPr="00B55971">
        <w:rPr>
          <w:rFonts w:eastAsia="Calibri" w:cs="Times New Roman"/>
          <w:lang w:val="hr-HR"/>
        </w:rPr>
        <w:t>4</w:t>
      </w:r>
      <w:r w:rsidR="007A4FBB" w:rsidRPr="00B55971">
        <w:rPr>
          <w:rFonts w:eastAsia="Calibri" w:cs="Times New Roman"/>
          <w:lang w:val="hr-HR"/>
        </w:rPr>
        <w:t>% u 202</w:t>
      </w:r>
      <w:r w:rsidR="00B55971" w:rsidRPr="00B55971">
        <w:rPr>
          <w:rFonts w:eastAsia="Calibri" w:cs="Times New Roman"/>
          <w:lang w:val="hr-HR"/>
        </w:rPr>
        <w:t>4</w:t>
      </w:r>
      <w:r w:rsidR="007A4FBB" w:rsidRPr="00B55971">
        <w:rPr>
          <w:rFonts w:eastAsia="Calibri" w:cs="Times New Roman"/>
          <w:lang w:val="hr-HR"/>
        </w:rPr>
        <w:t xml:space="preserve">. godini. </w:t>
      </w:r>
      <w:r w:rsidR="00E55991">
        <w:rPr>
          <w:rFonts w:eastAsia="Calibri" w:cs="Times New Roman"/>
          <w:lang w:val="hr-HR"/>
        </w:rPr>
        <w:t>G</w:t>
      </w:r>
      <w:r w:rsidR="00B55971">
        <w:rPr>
          <w:rFonts w:eastAsia="Calibri" w:cs="Times New Roman"/>
          <w:lang w:val="hr-HR"/>
        </w:rPr>
        <w:t xml:space="preserve">ospodarski rast će se prvenstveno temeljiti na doprinosu domaće potražnje, dok će doprinos inozemne potražnje biti negativan i relativno stabilan </w:t>
      </w:r>
      <w:r w:rsidR="004A48DE">
        <w:rPr>
          <w:rFonts w:eastAsia="Calibri" w:cs="Times New Roman"/>
          <w:lang w:val="hr-HR"/>
        </w:rPr>
        <w:t>u</w:t>
      </w:r>
      <w:r w:rsidR="00B55971">
        <w:rPr>
          <w:rFonts w:eastAsia="Calibri" w:cs="Times New Roman"/>
          <w:lang w:val="hr-HR"/>
        </w:rPr>
        <w:t xml:space="preserve"> cijelom projekcijskom razdoblju. Također, osobna potrošnja će dati svoj </w:t>
      </w:r>
      <w:r w:rsidR="00B55971" w:rsidRPr="00E55991">
        <w:rPr>
          <w:rFonts w:eastAsia="Calibri" w:cs="Times New Roman"/>
          <w:lang w:val="hr-HR"/>
        </w:rPr>
        <w:t xml:space="preserve">snažni doprinos gospodarskom rastu. </w:t>
      </w:r>
      <w:r w:rsidR="003168CA" w:rsidRPr="00E55991">
        <w:rPr>
          <w:rFonts w:eastAsia="Calibri" w:cs="Times New Roman"/>
          <w:lang w:val="hr-HR"/>
        </w:rPr>
        <w:t xml:space="preserve">U narednom srednjoročnom razdoblju očekuje </w:t>
      </w:r>
      <w:r w:rsidR="00E55991" w:rsidRPr="00E55991">
        <w:rPr>
          <w:rFonts w:eastAsia="Calibri" w:cs="Times New Roman"/>
          <w:lang w:val="hr-HR"/>
        </w:rPr>
        <w:t>se i pojačana</w:t>
      </w:r>
      <w:r w:rsidR="003168CA" w:rsidRPr="00E55991">
        <w:rPr>
          <w:rFonts w:eastAsia="Calibri" w:cs="Times New Roman"/>
          <w:lang w:val="hr-HR"/>
        </w:rPr>
        <w:t xml:space="preserve"> investicijska aktivnost potpomognuta postojećim kapitalnim priljevima iz fondova EU, kao i novim instrumentima financiranim ponajprije sredstvima iz Mehanizma oporavka i otpornosti.</w:t>
      </w:r>
      <w:r w:rsidR="003168CA" w:rsidRPr="003168CA">
        <w:rPr>
          <w:rFonts w:eastAsia="Calibri" w:cs="Times New Roman"/>
          <w:lang w:val="hr-HR"/>
        </w:rPr>
        <w:t xml:space="preserve"> </w:t>
      </w:r>
      <w:r w:rsidR="00754308" w:rsidRPr="00A93054">
        <w:rPr>
          <w:rFonts w:eastAsia="Times New Roman" w:cs="Times New Roman"/>
          <w:color w:val="000000"/>
          <w:shd w:val="clear" w:color="auto" w:fill="FFFFFF"/>
          <w:lang w:val="hr-HR" w:eastAsia="hr-HR"/>
        </w:rPr>
        <w:t>U 202</w:t>
      </w:r>
      <w:r w:rsidR="00754308">
        <w:rPr>
          <w:rFonts w:eastAsia="Times New Roman" w:cs="Times New Roman"/>
          <w:color w:val="000000"/>
          <w:shd w:val="clear" w:color="auto" w:fill="FFFFFF"/>
          <w:lang w:val="hr-HR" w:eastAsia="hr-HR"/>
        </w:rPr>
        <w:t xml:space="preserve">2. godini očekuje se </w:t>
      </w:r>
      <w:r w:rsidR="00754308" w:rsidRPr="00A93054">
        <w:rPr>
          <w:rFonts w:eastAsia="Times New Roman" w:cs="Times New Roman"/>
          <w:color w:val="000000"/>
          <w:shd w:val="clear" w:color="auto" w:fill="FFFFFF"/>
          <w:lang w:val="hr-HR" w:eastAsia="hr-HR"/>
        </w:rPr>
        <w:t>inflacij</w:t>
      </w:r>
      <w:r w:rsidR="00894DB1">
        <w:rPr>
          <w:rFonts w:eastAsia="Times New Roman" w:cs="Times New Roman"/>
          <w:color w:val="000000"/>
          <w:shd w:val="clear" w:color="auto" w:fill="FFFFFF"/>
          <w:lang w:val="hr-HR" w:eastAsia="hr-HR"/>
        </w:rPr>
        <w:t>a</w:t>
      </w:r>
      <w:r w:rsidR="00754308" w:rsidRPr="00A93054">
        <w:rPr>
          <w:rFonts w:eastAsia="Times New Roman" w:cs="Times New Roman"/>
          <w:color w:val="000000"/>
          <w:shd w:val="clear" w:color="auto" w:fill="FFFFFF"/>
          <w:lang w:val="hr-HR" w:eastAsia="hr-HR"/>
        </w:rPr>
        <w:t xml:space="preserve"> na</w:t>
      </w:r>
      <w:r w:rsidR="00894DB1">
        <w:rPr>
          <w:rFonts w:eastAsia="Times New Roman" w:cs="Times New Roman"/>
          <w:color w:val="000000"/>
          <w:shd w:val="clear" w:color="auto" w:fill="FFFFFF"/>
          <w:lang w:val="hr-HR" w:eastAsia="hr-HR"/>
        </w:rPr>
        <w:t xml:space="preserve"> razini od 1,7%</w:t>
      </w:r>
      <w:r w:rsidR="00281580">
        <w:rPr>
          <w:rFonts w:eastAsia="Times New Roman" w:cs="Times New Roman"/>
          <w:color w:val="000000"/>
          <w:shd w:val="clear" w:color="auto" w:fill="FFFFFF"/>
          <w:lang w:val="hr-HR" w:eastAsia="hr-HR"/>
        </w:rPr>
        <w:t>, dok se</w:t>
      </w:r>
      <w:r w:rsidR="00894DB1">
        <w:rPr>
          <w:rFonts w:eastAsia="Times New Roman" w:cs="Times New Roman"/>
          <w:color w:val="000000"/>
          <w:shd w:val="clear" w:color="auto" w:fill="FFFFFF"/>
          <w:lang w:val="hr-HR" w:eastAsia="hr-HR"/>
        </w:rPr>
        <w:t xml:space="preserve"> </w:t>
      </w:r>
      <w:r w:rsidR="00281580">
        <w:rPr>
          <w:rFonts w:eastAsia="Times New Roman" w:cs="Times New Roman"/>
          <w:color w:val="000000"/>
          <w:shd w:val="clear" w:color="auto" w:fill="FFFFFF"/>
          <w:lang w:val="hr-HR" w:eastAsia="hr-HR"/>
        </w:rPr>
        <w:t>u</w:t>
      </w:r>
      <w:r w:rsidR="00754308" w:rsidRPr="00A93054">
        <w:rPr>
          <w:rFonts w:eastAsia="Times New Roman" w:cs="Times New Roman"/>
          <w:color w:val="000000"/>
          <w:shd w:val="clear" w:color="auto" w:fill="FFFFFF"/>
          <w:lang w:val="hr-HR" w:eastAsia="hr-HR"/>
        </w:rPr>
        <w:t xml:space="preserve"> </w:t>
      </w:r>
      <w:r w:rsidR="00281580">
        <w:rPr>
          <w:rFonts w:eastAsia="Times New Roman" w:cs="Times New Roman"/>
          <w:color w:val="000000"/>
          <w:shd w:val="clear" w:color="auto" w:fill="FFFFFF"/>
          <w:lang w:val="hr-HR" w:eastAsia="hr-HR"/>
        </w:rPr>
        <w:t xml:space="preserve">ostatku projekcijskog razdoblja </w:t>
      </w:r>
      <w:r w:rsidR="00754308" w:rsidRPr="00A93054">
        <w:rPr>
          <w:rFonts w:eastAsia="Times New Roman" w:cs="Times New Roman"/>
          <w:color w:val="000000"/>
          <w:shd w:val="clear" w:color="auto" w:fill="FFFFFF"/>
          <w:lang w:val="hr-HR" w:eastAsia="hr-HR"/>
        </w:rPr>
        <w:t xml:space="preserve">očekuje postupno ubrzanje inflacije na razine od 2,0% u 2023. i 2,3% u 2024. </w:t>
      </w:r>
      <w:r w:rsidR="00754308" w:rsidRPr="00E55991">
        <w:rPr>
          <w:rFonts w:eastAsia="Times New Roman" w:cs="Times New Roman"/>
          <w:color w:val="000000"/>
          <w:shd w:val="clear" w:color="auto" w:fill="FFFFFF"/>
          <w:lang w:val="hr-HR" w:eastAsia="hr-HR"/>
        </w:rPr>
        <w:t>godini</w:t>
      </w:r>
      <w:r w:rsidR="00754308" w:rsidRPr="00E55991">
        <w:rPr>
          <w:rFonts w:cs="Times New Roman"/>
          <w:lang w:val="hr-HR"/>
        </w:rPr>
        <w:t xml:space="preserve">. </w:t>
      </w:r>
      <w:r w:rsidR="00754308" w:rsidRPr="00E55991">
        <w:rPr>
          <w:rFonts w:eastAsia="Times New Roman" w:cs="Times New Roman"/>
          <w:shd w:val="clear" w:color="auto" w:fill="FFFFFF"/>
          <w:lang w:val="hr-HR" w:eastAsia="hr-HR"/>
        </w:rPr>
        <w:t>Snažan gospodarski</w:t>
      </w:r>
      <w:r w:rsidR="00754308" w:rsidRPr="008D7F9E">
        <w:rPr>
          <w:rFonts w:eastAsia="Times New Roman" w:cs="Times New Roman"/>
          <w:shd w:val="clear" w:color="auto" w:fill="FFFFFF"/>
          <w:lang w:val="hr-HR" w:eastAsia="hr-HR"/>
        </w:rPr>
        <w:t xml:space="preserve"> rast u idućim godinama dovest </w:t>
      </w:r>
      <w:r w:rsidR="00754308">
        <w:rPr>
          <w:rFonts w:eastAsia="Times New Roman" w:cs="Times New Roman"/>
          <w:shd w:val="clear" w:color="auto" w:fill="FFFFFF"/>
          <w:lang w:val="hr-HR" w:eastAsia="hr-HR"/>
        </w:rPr>
        <w:t xml:space="preserve">će i </w:t>
      </w:r>
      <w:r w:rsidR="00754308" w:rsidRPr="008D7F9E">
        <w:rPr>
          <w:rFonts w:eastAsia="Times New Roman" w:cs="Times New Roman"/>
          <w:shd w:val="clear" w:color="auto" w:fill="FFFFFF"/>
          <w:lang w:val="hr-HR" w:eastAsia="hr-HR"/>
        </w:rPr>
        <w:t>do oporavka broja zaposlenih</w:t>
      </w:r>
      <w:r w:rsidR="00754308">
        <w:rPr>
          <w:rFonts w:eastAsia="Times New Roman" w:cs="Times New Roman"/>
          <w:shd w:val="clear" w:color="auto" w:fill="FFFFFF"/>
          <w:lang w:val="hr-HR" w:eastAsia="hr-HR"/>
        </w:rPr>
        <w:t xml:space="preserve">, </w:t>
      </w:r>
      <w:r w:rsidR="00F1439E">
        <w:rPr>
          <w:rFonts w:eastAsia="Times New Roman" w:cs="Times New Roman"/>
          <w:shd w:val="clear" w:color="auto" w:fill="FFFFFF"/>
          <w:lang w:val="hr-HR" w:eastAsia="hr-HR"/>
        </w:rPr>
        <w:t>koji</w:t>
      </w:r>
      <w:r w:rsidR="00754308">
        <w:rPr>
          <w:rFonts w:eastAsia="Times New Roman" w:cs="Times New Roman"/>
          <w:shd w:val="clear" w:color="auto" w:fill="FFFFFF"/>
          <w:lang w:val="hr-HR" w:eastAsia="hr-HR"/>
        </w:rPr>
        <w:t xml:space="preserve"> će se kretati </w:t>
      </w:r>
      <w:r w:rsidR="00754308" w:rsidRPr="008D7F9E">
        <w:rPr>
          <w:lang w:val="hr-HR"/>
        </w:rPr>
        <w:t xml:space="preserve">po stopi od </w:t>
      </w:r>
      <w:r w:rsidR="00754308">
        <w:rPr>
          <w:lang w:val="hr-HR"/>
        </w:rPr>
        <w:t>1,6</w:t>
      </w:r>
      <w:r w:rsidR="00754308" w:rsidRPr="008D7F9E">
        <w:rPr>
          <w:lang w:val="hr-HR"/>
        </w:rPr>
        <w:t>% u 202</w:t>
      </w:r>
      <w:r w:rsidR="00754308">
        <w:rPr>
          <w:lang w:val="hr-HR"/>
        </w:rPr>
        <w:t>2</w:t>
      </w:r>
      <w:r w:rsidR="00754308" w:rsidRPr="008D7F9E">
        <w:rPr>
          <w:lang w:val="hr-HR"/>
        </w:rPr>
        <w:t>.</w:t>
      </w:r>
      <w:r w:rsidR="00754308">
        <w:rPr>
          <w:lang w:val="hr-HR"/>
        </w:rPr>
        <w:t xml:space="preserve"> i 2023.</w:t>
      </w:r>
      <w:r w:rsidR="00754308" w:rsidRPr="008D7F9E">
        <w:rPr>
          <w:lang w:val="hr-HR"/>
        </w:rPr>
        <w:t xml:space="preserve">, </w:t>
      </w:r>
      <w:r w:rsidR="00754308">
        <w:rPr>
          <w:lang w:val="hr-HR"/>
        </w:rPr>
        <w:t>dok će u 2024. godini stopa rasta zaposlenih iznositi 1,4%</w:t>
      </w:r>
      <w:r w:rsidR="00754308" w:rsidRPr="008D7F9E">
        <w:rPr>
          <w:lang w:val="hr-HR"/>
        </w:rPr>
        <w:t>.</w:t>
      </w:r>
    </w:p>
    <w:p w:rsidR="003F0DF7" w:rsidRPr="00E62D6D" w:rsidRDefault="003F0DF7" w:rsidP="003F0DF7">
      <w:pPr>
        <w:jc w:val="both"/>
        <w:rPr>
          <w:rFonts w:ascii="Calibri" w:hAnsi="Calibri"/>
          <w:lang w:val="hr-HR"/>
        </w:rPr>
      </w:pPr>
      <w:r w:rsidRPr="00E62D6D">
        <w:rPr>
          <w:lang w:val="hr-HR"/>
        </w:rPr>
        <w:t>P</w:t>
      </w:r>
      <w:r w:rsidR="006873A0" w:rsidRPr="00E62D6D">
        <w:rPr>
          <w:lang w:val="hr-HR"/>
        </w:rPr>
        <w:t>rihodn</w:t>
      </w:r>
      <w:r w:rsidRPr="00E62D6D">
        <w:rPr>
          <w:lang w:val="hr-HR"/>
        </w:rPr>
        <w:t>a</w:t>
      </w:r>
      <w:r w:rsidR="006873A0" w:rsidRPr="00E62D6D">
        <w:rPr>
          <w:lang w:val="hr-HR"/>
        </w:rPr>
        <w:t xml:space="preserve"> stran</w:t>
      </w:r>
      <w:r w:rsidRPr="00E62D6D">
        <w:rPr>
          <w:lang w:val="hr-HR"/>
        </w:rPr>
        <w:t>a proračuna</w:t>
      </w:r>
      <w:r w:rsidR="006873A0" w:rsidRPr="00E62D6D">
        <w:rPr>
          <w:lang w:val="hr-HR"/>
        </w:rPr>
        <w:t xml:space="preserve"> </w:t>
      </w:r>
      <w:r w:rsidRPr="00E62D6D">
        <w:rPr>
          <w:lang w:val="hr-HR"/>
        </w:rPr>
        <w:t xml:space="preserve">određena je očekivanim oporavkom gospodarske aktivnosti, uzimajući u obzir fiskalne učinke </w:t>
      </w:r>
      <w:r w:rsidR="00B5093D">
        <w:rPr>
          <w:lang w:val="hr-HR"/>
        </w:rPr>
        <w:t>provedenih</w:t>
      </w:r>
      <w:r w:rsidRPr="00E62D6D">
        <w:rPr>
          <w:lang w:val="hr-HR"/>
        </w:rPr>
        <w:t xml:space="preserve"> poreznih izmjena u okviru </w:t>
      </w:r>
      <w:r w:rsidR="00E6463F" w:rsidRPr="00E62D6D">
        <w:rPr>
          <w:lang w:val="hr-HR"/>
        </w:rPr>
        <w:t xml:space="preserve">sustava </w:t>
      </w:r>
      <w:r w:rsidRPr="00E62D6D">
        <w:rPr>
          <w:lang w:val="hr-HR"/>
        </w:rPr>
        <w:t xml:space="preserve">poreza na dobit i poreza na dohodak. </w:t>
      </w:r>
      <w:r w:rsidR="003924A4" w:rsidRPr="00E62D6D">
        <w:rPr>
          <w:rFonts w:ascii="Calibri" w:hAnsi="Calibri"/>
          <w:lang w:val="hr-HR"/>
        </w:rPr>
        <w:t>Z</w:t>
      </w:r>
      <w:r w:rsidRPr="00E62D6D">
        <w:rPr>
          <w:rFonts w:ascii="Calibri" w:hAnsi="Calibri"/>
          <w:lang w:val="hr-HR"/>
        </w:rPr>
        <w:t xml:space="preserve">načajan učinak na prihode proračuna imat će i povlačenje </w:t>
      </w:r>
      <w:r w:rsidR="003924A4" w:rsidRPr="00E62D6D">
        <w:rPr>
          <w:rFonts w:ascii="Calibri" w:hAnsi="Calibri"/>
          <w:lang w:val="hr-HR"/>
        </w:rPr>
        <w:t xml:space="preserve">sredstva iz EU fondova, ponajprije iz </w:t>
      </w:r>
      <w:r w:rsidRPr="00E62D6D">
        <w:rPr>
          <w:rFonts w:ascii="Calibri" w:hAnsi="Calibri"/>
          <w:lang w:val="hr-HR"/>
        </w:rPr>
        <w:t>tekućeg Višegodišnjeg financijskog okvira 2014.- 2020., a</w:t>
      </w:r>
      <w:r w:rsidR="003924A4" w:rsidRPr="00E62D6D">
        <w:rPr>
          <w:rFonts w:ascii="Calibri" w:hAnsi="Calibri"/>
          <w:lang w:val="hr-HR"/>
        </w:rPr>
        <w:t>li se predviđaju</w:t>
      </w:r>
      <w:r w:rsidRPr="00E62D6D">
        <w:rPr>
          <w:rFonts w:ascii="Calibri" w:hAnsi="Calibri"/>
          <w:lang w:val="hr-HR"/>
        </w:rPr>
        <w:t xml:space="preserve"> i nova sredstva iz Višegodišnjeg financijskog okvira 2021. – 2027. Nadalje, u fiskalne projekcije uključeno je i korištenje sredstava iz novog instrumenta EU Nove generacije, koja će se usmjeriti za jačanje oporavka i otpornosti gospodarstva</w:t>
      </w:r>
      <w:r w:rsidR="0084750A">
        <w:rPr>
          <w:rFonts w:ascii="Calibri" w:hAnsi="Calibri"/>
          <w:lang w:val="hr-HR"/>
        </w:rPr>
        <w:t xml:space="preserve"> kroz razvojne, strateške i reformske projekte</w:t>
      </w:r>
      <w:r w:rsidRPr="00E62D6D">
        <w:rPr>
          <w:rFonts w:ascii="Calibri" w:hAnsi="Calibri"/>
          <w:lang w:val="hr-HR"/>
        </w:rPr>
        <w:t xml:space="preserve">, </w:t>
      </w:r>
      <w:r w:rsidR="0084750A">
        <w:rPr>
          <w:rFonts w:ascii="Calibri" w:hAnsi="Calibri"/>
          <w:lang w:val="hr-HR"/>
        </w:rPr>
        <w:t xml:space="preserve">a </w:t>
      </w:r>
      <w:r w:rsidRPr="00E62D6D">
        <w:rPr>
          <w:rFonts w:ascii="Calibri" w:hAnsi="Calibri"/>
          <w:lang w:val="hr-HR"/>
        </w:rPr>
        <w:t>za što je predviđeno 6</w:t>
      </w:r>
      <w:r w:rsidR="00EA6237">
        <w:rPr>
          <w:rFonts w:ascii="Calibri" w:hAnsi="Calibri"/>
          <w:lang w:val="hr-HR"/>
        </w:rPr>
        <w:t>,3</w:t>
      </w:r>
      <w:r w:rsidRPr="00E62D6D">
        <w:rPr>
          <w:rFonts w:ascii="Calibri" w:hAnsi="Calibri"/>
          <w:lang w:val="hr-HR"/>
        </w:rPr>
        <w:t xml:space="preserve"> milijardi eura bespovratnih sredstava do kraja 2026. godine. Uz to, u proračunu su projicirana i sredstva iz Fonda solidarnosti EU za financiranje dijela obnove javne infrastrukture</w:t>
      </w:r>
      <w:r w:rsidR="002407CD" w:rsidRPr="00E62D6D">
        <w:rPr>
          <w:rFonts w:ascii="Calibri" w:hAnsi="Calibri"/>
          <w:lang w:val="hr-HR"/>
        </w:rPr>
        <w:t xml:space="preserve"> oštećene u potresu</w:t>
      </w:r>
      <w:r w:rsidRPr="00E62D6D">
        <w:rPr>
          <w:rFonts w:ascii="Calibri" w:hAnsi="Calibri"/>
          <w:lang w:val="hr-HR"/>
        </w:rPr>
        <w:t>.</w:t>
      </w:r>
    </w:p>
    <w:p w:rsidR="0030469C" w:rsidRPr="00606810" w:rsidRDefault="000277DC" w:rsidP="0030469C">
      <w:pPr>
        <w:jc w:val="both"/>
        <w:rPr>
          <w:rFonts w:ascii="Calibri" w:hAnsi="Calibri"/>
          <w:lang w:val="hr-HR"/>
        </w:rPr>
      </w:pPr>
      <w:r w:rsidRPr="00606810">
        <w:rPr>
          <w:lang w:val="hr-HR"/>
        </w:rPr>
        <w:t xml:space="preserve">Rashodna strana proračuna </w:t>
      </w:r>
      <w:r w:rsidR="003924A4" w:rsidRPr="00606810">
        <w:rPr>
          <w:lang w:val="hr-HR"/>
        </w:rPr>
        <w:t>usmjerena je</w:t>
      </w:r>
      <w:r w:rsidRPr="00606810">
        <w:rPr>
          <w:lang w:val="hr-HR"/>
        </w:rPr>
        <w:t xml:space="preserve"> </w:t>
      </w:r>
      <w:r w:rsidR="003924A4" w:rsidRPr="00606810">
        <w:rPr>
          <w:lang w:val="hr-HR"/>
        </w:rPr>
        <w:t xml:space="preserve">na </w:t>
      </w:r>
      <w:r w:rsidRPr="00606810">
        <w:rPr>
          <w:lang w:val="hr-HR"/>
        </w:rPr>
        <w:t xml:space="preserve">provođenje aktivnosti u svrhu </w:t>
      </w:r>
      <w:r w:rsidR="003924A4" w:rsidRPr="00606810">
        <w:rPr>
          <w:lang w:val="hr-HR"/>
        </w:rPr>
        <w:t xml:space="preserve">oporavka i jačanja </w:t>
      </w:r>
      <w:r w:rsidRPr="00606810">
        <w:rPr>
          <w:lang w:val="hr-HR"/>
        </w:rPr>
        <w:t xml:space="preserve">konkurentnosti </w:t>
      </w:r>
      <w:r w:rsidR="003924A4" w:rsidRPr="00606810">
        <w:rPr>
          <w:lang w:val="hr-HR"/>
        </w:rPr>
        <w:t xml:space="preserve">i otpornosti </w:t>
      </w:r>
      <w:r w:rsidR="0096561C" w:rsidRPr="00606810">
        <w:rPr>
          <w:lang w:val="hr-HR"/>
        </w:rPr>
        <w:t xml:space="preserve">gospodarstva, </w:t>
      </w:r>
      <w:r w:rsidR="003924A4" w:rsidRPr="00606810">
        <w:rPr>
          <w:lang w:val="hr-HR"/>
        </w:rPr>
        <w:t>uz osiguravanje</w:t>
      </w:r>
      <w:r w:rsidRPr="00606810">
        <w:rPr>
          <w:lang w:val="hr-HR"/>
        </w:rPr>
        <w:t xml:space="preserve"> primjerene </w:t>
      </w:r>
      <w:r w:rsidR="003924A4" w:rsidRPr="00606810">
        <w:rPr>
          <w:lang w:val="hr-HR"/>
        </w:rPr>
        <w:t>zaštite s</w:t>
      </w:r>
      <w:r w:rsidRPr="00606810">
        <w:rPr>
          <w:lang w:val="hr-HR"/>
        </w:rPr>
        <w:t>v</w:t>
      </w:r>
      <w:r w:rsidR="003924A4" w:rsidRPr="00606810">
        <w:rPr>
          <w:lang w:val="hr-HR"/>
        </w:rPr>
        <w:t>ih</w:t>
      </w:r>
      <w:r w:rsidRPr="00606810">
        <w:rPr>
          <w:lang w:val="hr-HR"/>
        </w:rPr>
        <w:t xml:space="preserve"> slojev</w:t>
      </w:r>
      <w:r w:rsidR="003924A4" w:rsidRPr="00606810">
        <w:rPr>
          <w:lang w:val="hr-HR"/>
        </w:rPr>
        <w:t>a</w:t>
      </w:r>
      <w:r w:rsidRPr="00606810">
        <w:rPr>
          <w:lang w:val="hr-HR"/>
        </w:rPr>
        <w:t xml:space="preserve"> stanovništva.</w:t>
      </w:r>
      <w:r w:rsidR="0096561C" w:rsidRPr="00606810">
        <w:rPr>
          <w:lang w:val="hr-HR"/>
        </w:rPr>
        <w:t xml:space="preserve"> Za sanac</w:t>
      </w:r>
      <w:r w:rsidR="00606810" w:rsidRPr="00606810">
        <w:rPr>
          <w:lang w:val="hr-HR"/>
        </w:rPr>
        <w:t>iju šteta uzrokovanih potresom i nadalje se</w:t>
      </w:r>
      <w:r w:rsidR="0096561C" w:rsidRPr="00606810">
        <w:rPr>
          <w:lang w:val="hr-HR"/>
        </w:rPr>
        <w:t xml:space="preserve"> predviđ</w:t>
      </w:r>
      <w:r w:rsidR="00606810" w:rsidRPr="00606810">
        <w:rPr>
          <w:lang w:val="hr-HR"/>
        </w:rPr>
        <w:t xml:space="preserve">aju </w:t>
      </w:r>
      <w:r w:rsidR="0096561C" w:rsidRPr="00606810">
        <w:rPr>
          <w:lang w:val="hr-HR"/>
        </w:rPr>
        <w:t>značajna sredstva, kako iz nacionalnih izvora financiranja, tako i iz Fonda solidarnosti EU.</w:t>
      </w:r>
      <w:r w:rsidRPr="00606810">
        <w:rPr>
          <w:lang w:val="hr-HR"/>
        </w:rPr>
        <w:t xml:space="preserve"> Vodeći računa o fiskalnoj stabilnosti, ali i osiguranju </w:t>
      </w:r>
      <w:r w:rsidR="0030469C" w:rsidRPr="00606810">
        <w:rPr>
          <w:lang w:val="hr-HR"/>
        </w:rPr>
        <w:t>odgovarajućeg</w:t>
      </w:r>
      <w:r w:rsidRPr="00606810">
        <w:rPr>
          <w:lang w:val="hr-HR"/>
        </w:rPr>
        <w:t xml:space="preserve"> životnog standarda za građane RH, </w:t>
      </w:r>
      <w:r w:rsidR="003924A4" w:rsidRPr="00606810">
        <w:rPr>
          <w:lang w:val="hr-HR"/>
        </w:rPr>
        <w:t xml:space="preserve">osigurana su </w:t>
      </w:r>
      <w:r w:rsidR="0030469C" w:rsidRPr="00606810">
        <w:rPr>
          <w:lang w:val="hr-HR"/>
        </w:rPr>
        <w:t xml:space="preserve">dodatna </w:t>
      </w:r>
      <w:r w:rsidR="003924A4" w:rsidRPr="00606810">
        <w:rPr>
          <w:lang w:val="hr-HR"/>
        </w:rPr>
        <w:t>sredstva za adekvatniji sustav socijalnih naknada</w:t>
      </w:r>
      <w:r w:rsidR="0030469C" w:rsidRPr="00606810">
        <w:rPr>
          <w:lang w:val="hr-HR"/>
        </w:rPr>
        <w:t xml:space="preserve">, ponajprije za </w:t>
      </w:r>
      <w:r w:rsidR="00606810" w:rsidRPr="00606810">
        <w:rPr>
          <w:lang w:val="hr-HR"/>
        </w:rPr>
        <w:t>provedbu novog zakona o socijalnoj skrbi</w:t>
      </w:r>
      <w:r w:rsidR="0030469C" w:rsidRPr="00606810">
        <w:rPr>
          <w:lang w:val="hr-HR"/>
        </w:rPr>
        <w:t xml:space="preserve">. </w:t>
      </w:r>
    </w:p>
    <w:p w:rsidR="003F0DF7" w:rsidRDefault="000277DC" w:rsidP="006873A0">
      <w:pPr>
        <w:jc w:val="both"/>
        <w:rPr>
          <w:lang w:val="hr-HR"/>
        </w:rPr>
      </w:pPr>
      <w:r w:rsidRPr="00CC6DE1">
        <w:rPr>
          <w:lang w:val="hr-HR"/>
        </w:rPr>
        <w:t xml:space="preserve">Opisani smjer fiskalnih kretanja kako na prihodnoj tako i na rashodnoj strani proračuna rezultirat će </w:t>
      </w:r>
      <w:r w:rsidR="003F0DF7" w:rsidRPr="00CC6DE1">
        <w:rPr>
          <w:lang w:val="hr-HR"/>
        </w:rPr>
        <w:t>manjkom</w:t>
      </w:r>
      <w:r w:rsidRPr="00CC6DE1">
        <w:rPr>
          <w:lang w:val="hr-HR"/>
        </w:rPr>
        <w:t xml:space="preserve"> općeg proračuna prema metodologiji ESA 2010 u iznosu od </w:t>
      </w:r>
      <w:r w:rsidR="003F0DF7" w:rsidRPr="00CC6DE1">
        <w:rPr>
          <w:lang w:val="hr-HR"/>
        </w:rPr>
        <w:t>2,</w:t>
      </w:r>
      <w:r w:rsidR="00CC6DE1">
        <w:rPr>
          <w:lang w:val="hr-HR"/>
        </w:rPr>
        <w:t>6</w:t>
      </w:r>
      <w:r w:rsidRPr="00CC6DE1">
        <w:rPr>
          <w:lang w:val="hr-HR"/>
        </w:rPr>
        <w:t>% BDP-a u 202</w:t>
      </w:r>
      <w:r w:rsidR="00CC6DE1">
        <w:rPr>
          <w:lang w:val="hr-HR"/>
        </w:rPr>
        <w:t>2</w:t>
      </w:r>
      <w:r w:rsidRPr="00CC6DE1">
        <w:rPr>
          <w:lang w:val="hr-HR"/>
        </w:rPr>
        <w:t xml:space="preserve">. godini. U </w:t>
      </w:r>
      <w:r w:rsidRPr="00CC6DE1">
        <w:rPr>
          <w:lang w:val="hr-HR"/>
        </w:rPr>
        <w:lastRenderedPageBreak/>
        <w:t>202</w:t>
      </w:r>
      <w:r w:rsidR="00CC6DE1">
        <w:rPr>
          <w:lang w:val="hr-HR"/>
        </w:rPr>
        <w:t>3</w:t>
      </w:r>
      <w:r w:rsidRPr="00CC6DE1">
        <w:rPr>
          <w:lang w:val="hr-HR"/>
        </w:rPr>
        <w:t>. predviđa</w:t>
      </w:r>
      <w:r w:rsidR="00CC6A19">
        <w:rPr>
          <w:lang w:val="hr-HR"/>
        </w:rPr>
        <w:t xml:space="preserve"> se</w:t>
      </w:r>
      <w:r w:rsidRPr="00CC6DE1">
        <w:rPr>
          <w:lang w:val="hr-HR"/>
        </w:rPr>
        <w:t xml:space="preserve"> </w:t>
      </w:r>
      <w:r w:rsidR="003F0DF7" w:rsidRPr="00CC6DE1">
        <w:rPr>
          <w:lang w:val="hr-HR"/>
        </w:rPr>
        <w:t>manjak</w:t>
      </w:r>
      <w:r w:rsidRPr="00CC6DE1">
        <w:rPr>
          <w:lang w:val="hr-HR"/>
        </w:rPr>
        <w:t xml:space="preserve"> od </w:t>
      </w:r>
      <w:r w:rsidR="00CC6DE1">
        <w:rPr>
          <w:lang w:val="hr-HR"/>
        </w:rPr>
        <w:t>1</w:t>
      </w:r>
      <w:r w:rsidR="003F0DF7" w:rsidRPr="00CC6DE1">
        <w:rPr>
          <w:lang w:val="hr-HR"/>
        </w:rPr>
        <w:t>,</w:t>
      </w:r>
      <w:r w:rsidR="00CC6DE1">
        <w:rPr>
          <w:lang w:val="hr-HR"/>
        </w:rPr>
        <w:t>9</w:t>
      </w:r>
      <w:r w:rsidRPr="00CC6DE1">
        <w:rPr>
          <w:lang w:val="hr-HR"/>
        </w:rPr>
        <w:t xml:space="preserve">% BDP-a, dok će </w:t>
      </w:r>
      <w:r w:rsidR="003F0DF7" w:rsidRPr="00CC6DE1">
        <w:rPr>
          <w:lang w:val="hr-HR"/>
        </w:rPr>
        <w:t xml:space="preserve">manjak </w:t>
      </w:r>
      <w:r w:rsidRPr="00CC6DE1">
        <w:rPr>
          <w:lang w:val="hr-HR"/>
        </w:rPr>
        <w:t>u 202</w:t>
      </w:r>
      <w:r w:rsidR="00CC6DE1">
        <w:rPr>
          <w:lang w:val="hr-HR"/>
        </w:rPr>
        <w:t>4</w:t>
      </w:r>
      <w:r w:rsidRPr="00CC6DE1">
        <w:rPr>
          <w:lang w:val="hr-HR"/>
        </w:rPr>
        <w:t xml:space="preserve">. iznositi </w:t>
      </w:r>
      <w:r w:rsidR="003F0DF7" w:rsidRPr="00CC6DE1">
        <w:rPr>
          <w:lang w:val="hr-HR"/>
        </w:rPr>
        <w:t>1,</w:t>
      </w:r>
      <w:r w:rsidR="00CC6DE1">
        <w:rPr>
          <w:lang w:val="hr-HR"/>
        </w:rPr>
        <w:t>5</w:t>
      </w:r>
      <w:r w:rsidRPr="00CC6DE1">
        <w:rPr>
          <w:lang w:val="hr-HR"/>
        </w:rPr>
        <w:t xml:space="preserve">% BDP-a. Planira se i daljnje smanjenje udjela javnog duga u BDP-u i to za </w:t>
      </w:r>
      <w:r w:rsidR="003F0DF7" w:rsidRPr="00CC6DE1">
        <w:rPr>
          <w:lang w:val="hr-HR"/>
        </w:rPr>
        <w:t xml:space="preserve">prosječno </w:t>
      </w:r>
      <w:r w:rsidR="00781149">
        <w:rPr>
          <w:lang w:val="hr-HR"/>
        </w:rPr>
        <w:t>2,9</w:t>
      </w:r>
      <w:r w:rsidRPr="00CC6DE1">
        <w:rPr>
          <w:lang w:val="hr-HR"/>
        </w:rPr>
        <w:t xml:space="preserve"> postotn</w:t>
      </w:r>
      <w:r w:rsidR="00251173" w:rsidRPr="00CC6DE1">
        <w:rPr>
          <w:lang w:val="hr-HR"/>
        </w:rPr>
        <w:t>a bod</w:t>
      </w:r>
      <w:r w:rsidRPr="00CC6DE1">
        <w:rPr>
          <w:lang w:val="hr-HR"/>
        </w:rPr>
        <w:t xml:space="preserve">a </w:t>
      </w:r>
      <w:r w:rsidR="001572C2">
        <w:rPr>
          <w:lang w:val="hr-HR"/>
        </w:rPr>
        <w:t xml:space="preserve">te će iznositi 82,5% u 2022., 79,5% u 2023., dok će u 2024. godini udio javnog duga u BDP-u iznositi 76,8%. </w:t>
      </w:r>
    </w:p>
    <w:p w:rsidR="00E52BDF" w:rsidRPr="00861A1A" w:rsidRDefault="00E52BDF" w:rsidP="008720BC">
      <w:pPr>
        <w:jc w:val="both"/>
        <w:rPr>
          <w:highlight w:val="yellow"/>
          <w:lang w:val="hr-HR"/>
        </w:rPr>
      </w:pPr>
      <w:r w:rsidRPr="00861A1A">
        <w:rPr>
          <w:highlight w:val="yellow"/>
          <w:lang w:val="hr-HR"/>
        </w:rPr>
        <w:br w:type="page"/>
      </w:r>
    </w:p>
    <w:p w:rsidR="00E52BDF" w:rsidRPr="00D6024D" w:rsidRDefault="00E52BDF" w:rsidP="00E52BDF">
      <w:pPr>
        <w:pStyle w:val="Naslov1"/>
        <w:numPr>
          <w:ilvl w:val="0"/>
          <w:numId w:val="1"/>
        </w:numPr>
        <w:rPr>
          <w:lang w:val="hr-HR"/>
        </w:rPr>
      </w:pPr>
      <w:bookmarkStart w:id="4" w:name="_Toc78395754"/>
      <w:r w:rsidRPr="00D6024D">
        <w:rPr>
          <w:lang w:val="hr-HR"/>
        </w:rPr>
        <w:lastRenderedPageBreak/>
        <w:t>MAKROEKONOMSKI OKVIR U SREDNJOROČNOM RAZDOBLJU</w:t>
      </w:r>
      <w:bookmarkEnd w:id="4"/>
      <w:r w:rsidRPr="00D6024D">
        <w:rPr>
          <w:lang w:val="hr-HR"/>
        </w:rPr>
        <w:t xml:space="preserve"> </w:t>
      </w:r>
    </w:p>
    <w:p w:rsidR="00E52BDF" w:rsidRPr="00574FD0" w:rsidRDefault="00E52BDF" w:rsidP="00E52BDF">
      <w:pPr>
        <w:rPr>
          <w:highlight w:val="yellow"/>
          <w:lang w:val="hr-HR"/>
        </w:rPr>
      </w:pPr>
    </w:p>
    <w:p w:rsidR="00D6024D" w:rsidRPr="00D6024D" w:rsidRDefault="00D6024D" w:rsidP="00D6024D">
      <w:pPr>
        <w:jc w:val="both"/>
        <w:rPr>
          <w:rFonts w:ascii="Calibri" w:eastAsia="Calibri" w:hAnsi="Calibri" w:cs="Times New Roman"/>
          <w:lang w:val="hr-HR"/>
        </w:rPr>
      </w:pPr>
      <w:bookmarkStart w:id="5" w:name="_Toc520963978"/>
      <w:bookmarkStart w:id="6" w:name="_Toc15461767"/>
      <w:r w:rsidRPr="00EE18D4">
        <w:rPr>
          <w:lang w:val="hr-HR"/>
        </w:rPr>
        <w:t xml:space="preserve">Makroekonomski </w:t>
      </w:r>
      <w:r w:rsidRPr="00303B0B">
        <w:rPr>
          <w:lang w:val="hr-HR"/>
        </w:rPr>
        <w:t>okvir sastavljen je u travnju ove godine te opisan u Programu konvergencije RH za razdoblje 2022.-2024. Vanjske pretpostavke za izradu makroekonomskih projekcija preuzete su iz projekcija Međunarodnog monetarnog fonda</w:t>
      </w:r>
      <w:r>
        <w:rPr>
          <w:rStyle w:val="Referencafusnote"/>
          <w:lang w:val="hr-HR"/>
        </w:rPr>
        <w:footnoteReference w:id="1"/>
      </w:r>
      <w:r w:rsidRPr="00303B0B">
        <w:rPr>
          <w:lang w:val="hr-HR"/>
        </w:rPr>
        <w:t xml:space="preserve"> i E</w:t>
      </w:r>
      <w:r>
        <w:rPr>
          <w:lang w:val="hr-HR"/>
        </w:rPr>
        <w:t>uropske komisije</w:t>
      </w:r>
      <w:r>
        <w:rPr>
          <w:rStyle w:val="Referencafusnote"/>
          <w:lang w:val="hr-HR"/>
        </w:rPr>
        <w:footnoteReference w:id="2"/>
      </w:r>
      <w:r w:rsidRPr="00303B0B">
        <w:rPr>
          <w:lang w:val="hr-HR"/>
        </w:rPr>
        <w:t xml:space="preserve">. </w:t>
      </w:r>
    </w:p>
    <w:p w:rsidR="00EC1F06" w:rsidRPr="00D6024D" w:rsidRDefault="00EC1F06" w:rsidP="00EC1F06">
      <w:pPr>
        <w:pStyle w:val="Opisslike"/>
        <w:ind w:left="0"/>
        <w:jc w:val="left"/>
        <w:rPr>
          <w:rFonts w:ascii="Calibri" w:hAnsi="Calibri"/>
          <w:b w:val="0"/>
          <w:i/>
          <w:sz w:val="24"/>
          <w:szCs w:val="24"/>
          <w:lang w:val="hr-HR"/>
        </w:rPr>
      </w:pPr>
      <w:bookmarkStart w:id="7" w:name="_Toc78394993"/>
      <w:r w:rsidRPr="00D6024D">
        <w:rPr>
          <w:rFonts w:ascii="Calibri" w:hAnsi="Calibri"/>
          <w:b w:val="0"/>
          <w:i/>
          <w:sz w:val="24"/>
          <w:szCs w:val="24"/>
          <w:lang w:val="hr-HR"/>
        </w:rPr>
        <w:t xml:space="preserve">Tablica </w:t>
      </w:r>
      <w:r w:rsidRPr="00D6024D">
        <w:rPr>
          <w:rFonts w:ascii="Calibri" w:hAnsi="Calibri"/>
          <w:b w:val="0"/>
          <w:i/>
          <w:sz w:val="24"/>
          <w:szCs w:val="24"/>
          <w:lang w:val="hr-HR"/>
        </w:rPr>
        <w:fldChar w:fldCharType="begin"/>
      </w:r>
      <w:r w:rsidRPr="00D6024D">
        <w:rPr>
          <w:rFonts w:ascii="Calibri" w:hAnsi="Calibri"/>
          <w:b w:val="0"/>
          <w:i/>
          <w:sz w:val="24"/>
          <w:szCs w:val="24"/>
          <w:lang w:val="hr-HR"/>
        </w:rPr>
        <w:instrText xml:space="preserve"> SEQ Tablica \* ARABIC </w:instrText>
      </w:r>
      <w:r w:rsidRPr="00D6024D">
        <w:rPr>
          <w:rFonts w:ascii="Calibri" w:hAnsi="Calibri"/>
          <w:b w:val="0"/>
          <w:i/>
          <w:sz w:val="24"/>
          <w:szCs w:val="24"/>
          <w:lang w:val="hr-HR"/>
        </w:rPr>
        <w:fldChar w:fldCharType="separate"/>
      </w:r>
      <w:r w:rsidR="00F17D56">
        <w:rPr>
          <w:rFonts w:ascii="Calibri" w:hAnsi="Calibri"/>
          <w:b w:val="0"/>
          <w:i/>
          <w:noProof/>
          <w:sz w:val="24"/>
          <w:szCs w:val="24"/>
          <w:lang w:val="hr-HR"/>
        </w:rPr>
        <w:t>1</w:t>
      </w:r>
      <w:r w:rsidRPr="00D6024D">
        <w:rPr>
          <w:rFonts w:ascii="Calibri" w:hAnsi="Calibri"/>
          <w:b w:val="0"/>
          <w:i/>
          <w:sz w:val="24"/>
          <w:szCs w:val="24"/>
          <w:lang w:val="hr-HR"/>
        </w:rPr>
        <w:fldChar w:fldCharType="end"/>
      </w:r>
      <w:r w:rsidRPr="00D6024D">
        <w:rPr>
          <w:rFonts w:ascii="Calibri" w:hAnsi="Calibri"/>
          <w:b w:val="0"/>
          <w:i/>
          <w:sz w:val="24"/>
          <w:szCs w:val="24"/>
          <w:lang w:val="hr-HR"/>
        </w:rPr>
        <w:t xml:space="preserve">: </w:t>
      </w:r>
      <w:bookmarkEnd w:id="5"/>
      <w:bookmarkEnd w:id="6"/>
      <w:r w:rsidR="00D6024D" w:rsidRPr="00D6024D">
        <w:rPr>
          <w:rFonts w:ascii="Calibri" w:hAnsi="Calibri"/>
          <w:b w:val="0"/>
          <w:i/>
          <w:sz w:val="24"/>
          <w:szCs w:val="24"/>
          <w:lang w:val="hr-HR"/>
        </w:rPr>
        <w:t>Projekcije makroekonomskih pokazatelja Republike Hrvatske</w:t>
      </w:r>
      <w:bookmarkEnd w:id="7"/>
    </w:p>
    <w:p w:rsidR="00D6024D" w:rsidRDefault="00D6024D" w:rsidP="00EC1F06">
      <w:pPr>
        <w:rPr>
          <w:noProof/>
          <w:highlight w:val="yellow"/>
          <w:lang w:val="hr-HR" w:eastAsia="hr-HR"/>
        </w:rPr>
      </w:pPr>
      <w:r w:rsidRPr="00D6024D">
        <w:rPr>
          <w:noProof/>
          <w:lang w:val="hr-HR" w:eastAsia="hr-HR"/>
        </w:rPr>
        <w:drawing>
          <wp:inline distT="0" distB="0" distL="0" distR="0">
            <wp:extent cx="5760720" cy="3101926"/>
            <wp:effectExtent l="0" t="0" r="0" b="381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rsidR="00EC1F06" w:rsidRDefault="00EC1F06" w:rsidP="00EC1F06">
      <w:pPr>
        <w:rPr>
          <w:i/>
          <w:lang w:val="hr-HR"/>
        </w:rPr>
      </w:pPr>
      <w:r w:rsidRPr="00D6024D">
        <w:rPr>
          <w:rFonts w:ascii="Calibri" w:hAnsi="Calibri"/>
          <w:bCs/>
          <w:i/>
          <w:sz w:val="20"/>
          <w:szCs w:val="20"/>
          <w:lang w:val="hr-HR"/>
        </w:rPr>
        <w:t xml:space="preserve">     Izvor: DZS, Ministarstvo financija</w:t>
      </w:r>
      <w:r w:rsidRPr="00D6024D">
        <w:rPr>
          <w:i/>
          <w:lang w:val="hr-HR"/>
        </w:rPr>
        <w:t xml:space="preserve"> </w:t>
      </w:r>
    </w:p>
    <w:p w:rsidR="00D6024D" w:rsidRDefault="00D6024D" w:rsidP="00D6024D">
      <w:pPr>
        <w:spacing w:before="240"/>
        <w:jc w:val="both"/>
        <w:rPr>
          <w:lang w:val="hr-HR"/>
        </w:rPr>
      </w:pPr>
      <w:r w:rsidRPr="00786858">
        <w:rPr>
          <w:lang w:val="hr-HR"/>
        </w:rPr>
        <w:t xml:space="preserve">Kao posljedica COVID-19 </w:t>
      </w:r>
      <w:proofErr w:type="spellStart"/>
      <w:r w:rsidRPr="00786858">
        <w:rPr>
          <w:lang w:val="hr-HR"/>
        </w:rPr>
        <w:t>pandemije</w:t>
      </w:r>
      <w:proofErr w:type="spellEnd"/>
      <w:r w:rsidRPr="00786858">
        <w:rPr>
          <w:lang w:val="hr-HR"/>
        </w:rPr>
        <w:t xml:space="preserve"> i mjera uvedenih za njeno suzbijanje, tijekom 2020. godine zaustavljena su pozitivna kretanja ekonomske aktivnosti bilježena tijekom prethodnih pet godina. U 2020. je zabilježen najveći realni pad hrvatskog BDP-a u povijesti od 8,0%. Pritom su i domaća i inozemna potražnja snažno negativno doprinijele kretanju BDP-a, dok je izražen pozitivan doprinos kretanju BDP-a došao od kategorije promjene zaliha. </w:t>
      </w:r>
    </w:p>
    <w:p w:rsidR="00D6024D" w:rsidRPr="00C43681" w:rsidRDefault="00D6024D" w:rsidP="00D6024D">
      <w:pPr>
        <w:spacing w:before="240"/>
        <w:jc w:val="both"/>
        <w:rPr>
          <w:highlight w:val="yellow"/>
          <w:lang w:val="hr-HR"/>
        </w:rPr>
      </w:pPr>
      <w:r w:rsidRPr="00786858">
        <w:rPr>
          <w:lang w:val="hr-HR"/>
        </w:rPr>
        <w:t xml:space="preserve">U srednjoročnom razdoblju očekuje se snažan oporavak gospodarske aktivnosti koji uključuje i </w:t>
      </w:r>
      <w:r w:rsidRPr="00C43681">
        <w:rPr>
          <w:lang w:val="hr-HR"/>
        </w:rPr>
        <w:t xml:space="preserve">znatne </w:t>
      </w:r>
      <w:r w:rsidRPr="00D45AEB">
        <w:rPr>
          <w:lang w:val="hr-HR"/>
        </w:rPr>
        <w:t>pozitivne učinke NPOO-a.</w:t>
      </w:r>
      <w:r w:rsidRPr="00C43681">
        <w:rPr>
          <w:lang w:val="hr-HR"/>
        </w:rPr>
        <w:t xml:space="preserve"> Procijenjeni makroekonomski utjecaj NPOO-a upućuje na ubrzanje stope rasta BDP-a u odnosu </w:t>
      </w:r>
      <w:r w:rsidRPr="004D25EB">
        <w:rPr>
          <w:lang w:val="hr-HR"/>
        </w:rPr>
        <w:t>na osnovni scenarij od 0,3 postotnih bodova u 2021., te gotovo 1,5 postotnih bodova u 2022. i 2023. kada je učinak i najsnažniji. Tako se u 2021. godini predviđa realni rast BDP-a od 5,2%, koji će potom ubrzati na 6,6% u 2022., dok će u 2023. i 2024. godini realni rast BDP-a iznositi 4,1%, odnosno 3,4%. Kroz čitavo srednjoročno razdoblje gospodarski rast će se temeljiti na doprinosu domaće potražnje. Doprinos neto inozemne</w:t>
      </w:r>
      <w:r w:rsidRPr="00C43681">
        <w:rPr>
          <w:lang w:val="hr-HR"/>
        </w:rPr>
        <w:t xml:space="preserve"> potražnje bit će negativan te relativno stabilan u cijelom</w:t>
      </w:r>
      <w:r w:rsidRPr="00786858">
        <w:rPr>
          <w:lang w:val="hr-HR"/>
        </w:rPr>
        <w:t xml:space="preserve"> razdoblju, a nešto manje izražen tek na kraju projekcijskog razdoblja. </w:t>
      </w:r>
    </w:p>
    <w:p w:rsidR="00D6024D" w:rsidRPr="0054788A" w:rsidRDefault="00D6024D" w:rsidP="00D6024D">
      <w:pPr>
        <w:jc w:val="both"/>
        <w:rPr>
          <w:rFonts w:eastAsia="Times New Roman" w:cs="Times New Roman"/>
          <w:i/>
          <w:color w:val="7F7F7F" w:themeColor="text1" w:themeTint="80"/>
          <w:lang w:val="hr-HR"/>
        </w:rPr>
      </w:pPr>
      <w:r w:rsidRPr="0054788A">
        <w:rPr>
          <w:rFonts w:eastAsia="Times New Roman" w:cs="Times New Roman"/>
          <w:lang w:val="hr-HR"/>
        </w:rPr>
        <w:t xml:space="preserve">Osobna potrošnja bit će glavni pokretač rasta domaće potražnje u prvoj i zadnjoj godini projekcijskog razdoblja. Kroz promatrane četiri godine karakterizirat će ju tek blago usporavajuća dinamika što </w:t>
      </w:r>
      <w:r w:rsidRPr="0054788A">
        <w:rPr>
          <w:rFonts w:eastAsia="Times New Roman" w:cs="Times New Roman"/>
          <w:lang w:val="hr-HR"/>
        </w:rPr>
        <w:lastRenderedPageBreak/>
        <w:t xml:space="preserve">prvenstveno odražava činjenicu da su </w:t>
      </w:r>
      <w:proofErr w:type="spellStart"/>
      <w:r w:rsidRPr="0054788A">
        <w:rPr>
          <w:rFonts w:eastAsia="Times New Roman" w:cs="Times New Roman"/>
          <w:lang w:val="hr-HR"/>
        </w:rPr>
        <w:t>multiplikativni</w:t>
      </w:r>
      <w:proofErr w:type="spellEnd"/>
      <w:r w:rsidRPr="0054788A">
        <w:rPr>
          <w:rFonts w:eastAsia="Times New Roman" w:cs="Times New Roman"/>
          <w:lang w:val="hr-HR"/>
        </w:rPr>
        <w:t xml:space="preserve"> učinci NPOO-a na osobnu potrošnju najizraženiji u zadnje dvije godine, ali i postupno sve znatnije korištenje financijske poluge sektora kućanstava koji je u proteklom razdoblju prošao naglašen proces razduživanja. Tako će stopu štednje sektora kućanstava obilježiti kontinuirano smanjenje u srednjoročnom razdoblju, u uvjetima oporavka raspoloženja potrošača, kao i nastavka razdoblja niskih kamatnih stopa koje dodatno umanjuju teret duga sektora kućanstava. Usporavajuću dinamiku raspoloživog dohotka kućanstava, počevši od 2022. godine, generirat će prvenstveno naknade zaposlenicima, uzimajući u obzir očekivano usporavanje rasta zaposlenosti prema nacionalnom konceptu. Izdvojimo još i blaži pozitivan utjecaj od strane zakonskih izmjena stopa poreza na dohodak. Nepovoljan utjecaj na realni rast raspoloživog dohotka u čitavom razdoblju dolazit će od uvećane stope inflacije. U skladu s projekcijama fiskalnih kategorija na razini opće države, tijekom srednjoročnog razdoblja ne očekuje se izražen doprinos državne potrošnje gospodarskom rastu.</w:t>
      </w:r>
      <w:r w:rsidRPr="0054788A">
        <w:rPr>
          <w:rFonts w:eastAsia="Times New Roman" w:cs="Times New Roman"/>
          <w:i/>
          <w:color w:val="7F7F7F" w:themeColor="text1" w:themeTint="80"/>
          <w:lang w:val="hr-HR"/>
        </w:rPr>
        <w:t xml:space="preserve"> </w:t>
      </w:r>
      <w:r w:rsidRPr="0054788A">
        <w:rPr>
          <w:rFonts w:eastAsia="Times New Roman" w:cs="Times New Roman"/>
          <w:lang w:val="hr-HR"/>
        </w:rPr>
        <w:t xml:space="preserve">Najveći doprinos realnom rastu državne potrošnje kroz čitavo projekcijsko razdoblje dolazit će od rasta </w:t>
      </w:r>
      <w:proofErr w:type="spellStart"/>
      <w:r w:rsidRPr="0054788A">
        <w:rPr>
          <w:rFonts w:eastAsia="Times New Roman" w:cs="Times New Roman"/>
          <w:lang w:val="hr-HR"/>
        </w:rPr>
        <w:t>intermedijarne</w:t>
      </w:r>
      <w:proofErr w:type="spellEnd"/>
      <w:r w:rsidRPr="0054788A">
        <w:rPr>
          <w:rFonts w:eastAsia="Times New Roman" w:cs="Times New Roman"/>
          <w:lang w:val="hr-HR"/>
        </w:rPr>
        <w:t xml:space="preserve"> potrošnje. </w:t>
      </w:r>
    </w:p>
    <w:p w:rsidR="00D6024D" w:rsidRPr="00461B88" w:rsidRDefault="00D6024D" w:rsidP="00D6024D">
      <w:pPr>
        <w:jc w:val="both"/>
        <w:rPr>
          <w:highlight w:val="yellow"/>
          <w:lang w:val="hr-HR"/>
        </w:rPr>
      </w:pPr>
      <w:r w:rsidRPr="008F2CBE">
        <w:rPr>
          <w:lang w:val="hr-HR"/>
        </w:rPr>
        <w:t>U 2020. godini bruto investicije u fiksni kapital zabilježile su povoljnije ostvarenje od očekivanja, prvenstveno zahvaljujući investicijskoj aktivnosti opće države koja već treću godinu zaredom ostvaruje iznimno velike stope rasta. U narednom srednjoročnom razdoblju očekuje se snažna investicijska aktivnost potpomognuta postojećim kapitalnim priljevima iz fondova EU, kao i novim instrumentima financiranim ponajprije sredstvima iz Mehanizma oporavka i otpornosti. Snažniji doprinos rastu ukupnih investicija dolazit će od strane privatnih investicija kroz čitavo projekcijsko razdoblje, pri čemu će dinamika njihovog rasta postupno slabjeti nakon 2022. godine. Izraženi doprinosi od strane javnih investicija bit će prisutni u prve dvije godine, dok će u preostalim godinama javne investicije bilježiti blagi pad, ali će se zadržati na povijesno visokim razinama. Tijekom srednjoročnog razdoblja očekuje se daljnje poboljšanje investicijske klime u uvjetima oporavka profitabilnosti sektora poduzeća, pozitivnog kretanja ekonomskog raspoloženja te zadržavanja povoljnih inozemnih uvjeta financiranja, kao i kreditnog rejtinga zemlje, dok će najveći izazov pred hrvatskim poslovnim sektorom u narednom razdoblju nedvojbeno biti nedostatak radne snage. Osim toga, dugoročno zaduživanje</w:t>
      </w:r>
      <w:r>
        <w:rPr>
          <w:lang w:val="hr-HR"/>
        </w:rPr>
        <w:t xml:space="preserve"> moglo bi postati nešto skuplje</w:t>
      </w:r>
      <w:r w:rsidRPr="008F2CBE">
        <w:rPr>
          <w:lang w:val="hr-HR"/>
        </w:rPr>
        <w:t xml:space="preserve">. Na olakšanje poslovanja poduzetnika povoljno bi trebala djelovati i daljnja provedba reformskih mjera, prvenstveno u smislu smanjenja administrativnog i parafiskalnog opterećenja gospodarstva. Slijedom svega spomenutog, predviđa se i blagi oporavak priljeva inozemnih izravnih investicija. </w:t>
      </w:r>
    </w:p>
    <w:p w:rsidR="00D6024D" w:rsidRPr="00730568" w:rsidRDefault="00D6024D" w:rsidP="00D6024D">
      <w:pPr>
        <w:jc w:val="both"/>
        <w:rPr>
          <w:lang w:val="hr-HR"/>
        </w:rPr>
      </w:pPr>
      <w:r w:rsidRPr="00374B48">
        <w:rPr>
          <w:lang w:val="hr-HR"/>
        </w:rPr>
        <w:t xml:space="preserve">Od 2013. godine izvoz roba je postao jedan od glavnih izvora gospodarskog rasta na što je prvenstveno utjecalo pristupanje zajedničkom tržištu EU te posljedične povoljne promjene izvozne strukture uslijed boljeg prilagođavanja potrebama tržišta. Međutim, rast inozemne robne potražnje znatno je usporio već 2019. da bi zatim u 2020. godini, pod utjecajem izbijanja </w:t>
      </w:r>
      <w:proofErr w:type="spellStart"/>
      <w:r w:rsidRPr="00374B48">
        <w:rPr>
          <w:lang w:val="hr-HR"/>
        </w:rPr>
        <w:t>pandemije</w:t>
      </w:r>
      <w:proofErr w:type="spellEnd"/>
      <w:r w:rsidRPr="00374B48">
        <w:rPr>
          <w:lang w:val="hr-HR"/>
        </w:rPr>
        <w:t xml:space="preserve"> COVID-19, zabilježila veliko smanjenje. Navedene dvije godine smanjene potražnje hrvatski robni izvoz prebrodio je na iznimno pozitivan način zabilježivši izraženo povećanje udjela na inozemnim tržištima, a posebno u recesijskoj 2020. godini. Tako povoljan rezultat hrvatskog izvoza roba u 2020. svjedoči spomenutom strukturnom napretku izvoznog sektora te adekvatnijoj uključenosti u globalne lance vrijednosti u usporedbi s razdobljem prije pristupanja EU. Na pozitivna očekivanja realnog rasta izvoza roba u 2021. utječe očekivan snažan oporavak inozemne robne potražnje, zatim pozitivan bazni efekt uslijed neočekivano povoljne dinamike krajem prošle godine, kao i dosadašnja ostvarenja robnog izvoza te industrijske proizvodnje </w:t>
      </w:r>
      <w:r>
        <w:rPr>
          <w:lang w:val="hr-HR"/>
        </w:rPr>
        <w:t xml:space="preserve">tijekom </w:t>
      </w:r>
      <w:r w:rsidRPr="00374B48">
        <w:rPr>
          <w:lang w:val="hr-HR"/>
        </w:rPr>
        <w:t xml:space="preserve">2021. godine. Ipak, kroz čitavo projekcijsko razdoblje očekuje se blago smanjenje udjela na hrvatskim izvoznim robnim tržištima, koje će biti nešto izraženije u 2021. te se postupno </w:t>
      </w:r>
      <w:r w:rsidRPr="00374B48">
        <w:rPr>
          <w:lang w:val="hr-HR"/>
        </w:rPr>
        <w:lastRenderedPageBreak/>
        <w:t xml:space="preserve">smanjivati prema kraju razdoblja. Nastavno na navedeno, izvoz roba će svoju </w:t>
      </w:r>
      <w:proofErr w:type="spellStart"/>
      <w:r w:rsidRPr="00374B48">
        <w:rPr>
          <w:lang w:val="hr-HR"/>
        </w:rPr>
        <w:t>pretkriznu</w:t>
      </w:r>
      <w:proofErr w:type="spellEnd"/>
      <w:r w:rsidRPr="00374B48">
        <w:rPr>
          <w:lang w:val="hr-HR"/>
        </w:rPr>
        <w:t xml:space="preserve"> </w:t>
      </w:r>
      <w:r w:rsidRPr="00730568">
        <w:rPr>
          <w:lang w:val="hr-HR"/>
        </w:rPr>
        <w:t xml:space="preserve">razinu prestići već u 2021. godini. </w:t>
      </w:r>
    </w:p>
    <w:p w:rsidR="00D6024D" w:rsidRPr="00730568" w:rsidRDefault="00D6024D" w:rsidP="00D6024D">
      <w:pPr>
        <w:jc w:val="both"/>
        <w:rPr>
          <w:lang w:val="hr-HR"/>
        </w:rPr>
      </w:pPr>
      <w:r w:rsidRPr="00730568">
        <w:rPr>
          <w:lang w:val="hr-HR"/>
        </w:rPr>
        <w:t>Usporedba prihoda od turizma s fizičkim pokazateljima u 2020. pokazuje iznenađujuću činjenicu da naizgled nepovoljna promjena u strukturi turista prema kategorijama nižeg imovinskog statusa te očekivane potrošnje, nije rezultirala negativnim utjecajem na (implicitnu) prosječnu potrošnju inozemnih turista, koja je ostvarila još snažniji rast nego rekordne 2019. Pritom treba istaknuti kako je RH u 2020. zabilježila manji pad inozemnih turističkih noćenja nego što se očekivalo nakon izbijanja COVID-19 krize</w:t>
      </w:r>
      <w:r>
        <w:rPr>
          <w:lang w:val="hr-HR"/>
        </w:rPr>
        <w:t>, te je taj pad bio</w:t>
      </w:r>
      <w:r w:rsidRPr="00730568">
        <w:rPr>
          <w:lang w:val="hr-HR"/>
        </w:rPr>
        <w:t xml:space="preserve"> manji u usporedbi s drugim mediteranskim zemljama. Tome su, osim razmjerno povoljne epidemiološke situacije u RH, pridonijeli i čimbenici koji se uobičajeno smatraju nepovoljnim strukturnim obilježjima hrvatskog turizma, a to su njegova izražena </w:t>
      </w:r>
      <w:proofErr w:type="spellStart"/>
      <w:r w:rsidRPr="00730568">
        <w:rPr>
          <w:lang w:val="hr-HR"/>
        </w:rPr>
        <w:t>sezonalnost</w:t>
      </w:r>
      <w:proofErr w:type="spellEnd"/>
      <w:r w:rsidRPr="00730568">
        <w:rPr>
          <w:lang w:val="hr-HR"/>
        </w:rPr>
        <w:t>, potom činjenica da strani turisti pretežito koriste automobil kao glavno prijevozno sredstvo dolaska u RH te veći udio privatnog smještaja u ukupnim smještajnim kapacitetima u usporedbi s drugim mediteranskim zemljama. Očekuje se da će sva navedena strukturna obilježja imati povoljan učinak na kretanja u sektoru turizma i u nadolazećem razdoblju. Također, u 2021. godini se očekuje bolja priprema hrvatskog turističkog sektora za nadolazeću sezonu. Između ostalog, to uključ</w:t>
      </w:r>
      <w:r>
        <w:rPr>
          <w:lang w:val="hr-HR"/>
        </w:rPr>
        <w:t xml:space="preserve">uje </w:t>
      </w:r>
      <w:r w:rsidRPr="00730568">
        <w:rPr>
          <w:lang w:val="hr-HR"/>
        </w:rPr>
        <w:t xml:space="preserve">i proširenje </w:t>
      </w:r>
      <w:r w:rsidRPr="006A4CC9">
        <w:rPr>
          <w:lang w:val="hr-HR"/>
        </w:rPr>
        <w:t>mreže punktova za testiranje te prioritetno cijepljenje turističkih djelatnika. Međutim, izgledi za turistički sektor i dalje su vrlo neizvjesni i ovisit</w:t>
      </w:r>
      <w:r>
        <w:rPr>
          <w:lang w:val="hr-HR"/>
        </w:rPr>
        <w:t xml:space="preserve"> će o epidemiološkoj situaciji</w:t>
      </w:r>
      <w:r w:rsidRPr="006A4CC9">
        <w:rPr>
          <w:lang w:val="hr-HR"/>
        </w:rPr>
        <w:t>, ali i o pouzdanju turista i ekonomskoj situaciji. U 2021. godini projicirano je povećanje noćenja inozemnih turista od oko 40% u odnosu na 2020., što će i dalje iznositi tek 60% njihove rekordne razine iz 2019. Predviđa se da će međugodišnji rast prihoda od turizma u realnim terminima u 2021. biti oko 10 postotnih bodova niži nego spomenuti rast fizičkih pokazatelja. U 2022. godini, u skladu s daljnjim poboljšanjem epidemiološke situacije i postupnim povratkom uobičajenih</w:t>
      </w:r>
      <w:r w:rsidRPr="00730568">
        <w:rPr>
          <w:lang w:val="hr-HR"/>
        </w:rPr>
        <w:t xml:space="preserve"> obrazaca turističke potrošnje, očekuje se nešto dinamičniji oporavak noćenja inozemnih turista koja će tako doseći 88% razine iz 2019. godine. Prema kraju projekcijskog razdoblja, uz pozitivnu i umjereno ubrzavajuću dinamiku prosječne turističke potrošnje, očekuje se i daljnji oporavak noćenja stranih turista, iako će on i u 2024. ostati blago ispod razine 2019. godine.</w:t>
      </w:r>
    </w:p>
    <w:p w:rsidR="00D6024D" w:rsidRPr="00F25B1A" w:rsidRDefault="00D6024D" w:rsidP="00D6024D">
      <w:pPr>
        <w:jc w:val="both"/>
        <w:rPr>
          <w:lang w:val="hr-HR"/>
        </w:rPr>
      </w:pPr>
      <w:r w:rsidRPr="00F25B1A">
        <w:rPr>
          <w:lang w:val="hr-HR"/>
        </w:rPr>
        <w:t xml:space="preserve">Za razliku od izvoza roba i usluga, kojeg karakteriziraju tek blagi učinci NPOO-a, ti učinci su snažno izraženi kod uvoza roba i usluga. Pritom su u velikoj mjeri koncentrirani u prvim godinama promatranog razdoblja, te tako uvjetuju razmjerno nisku razinu elastičnosti uvoza u odnosu na konačnu potražnju u zadnjoj projekcijskoj godini. Od 2022. godine, u skladu s projiciranim kretanjem konačne potražnje, očekuje se postupno usporavanje realnog rasta uvoza roba i usluga. Očekuje se da će uvoz roba u realnim terminima već 2022. godine biti preko 10% veći od svoje razne iz 2019., dok će uvoz usluga tek 2023. prestići razinu zabilježenu u </w:t>
      </w:r>
      <w:proofErr w:type="spellStart"/>
      <w:r w:rsidRPr="00F25B1A">
        <w:rPr>
          <w:lang w:val="hr-HR"/>
        </w:rPr>
        <w:t>pretkriznoj</w:t>
      </w:r>
      <w:proofErr w:type="spellEnd"/>
      <w:r w:rsidRPr="00F25B1A">
        <w:rPr>
          <w:lang w:val="hr-HR"/>
        </w:rPr>
        <w:t xml:space="preserve"> 2019. godini.</w:t>
      </w:r>
    </w:p>
    <w:p w:rsidR="00D6024D" w:rsidRPr="00A93054" w:rsidRDefault="00D6024D" w:rsidP="00D6024D">
      <w:pPr>
        <w:jc w:val="both"/>
        <w:rPr>
          <w:rFonts w:eastAsia="Times New Roman" w:cs="Times New Roman"/>
          <w:shd w:val="clear" w:color="auto" w:fill="FFFFFF"/>
          <w:lang w:val="hr-HR" w:eastAsia="hr-HR"/>
        </w:rPr>
      </w:pPr>
      <w:bookmarkStart w:id="8" w:name="_Toc6418635"/>
      <w:r w:rsidRPr="00F94CC2">
        <w:rPr>
          <w:lang w:val="hr-HR"/>
        </w:rPr>
        <w:t xml:space="preserve">Inflacija se tijekom 2020. kretala na niskim razinama te je zabilježila prosječnu stopu od 0,1%, usporivši nakon inflacije od 0,8% ostvarene u 2019. godini. </w:t>
      </w:r>
      <w:r w:rsidRPr="00F94CC2">
        <w:rPr>
          <w:rFonts w:ascii="Calibri" w:eastAsia="Calibri" w:hAnsi="Calibri" w:cs="Times New Roman"/>
          <w:lang w:val="hr-HR"/>
        </w:rPr>
        <w:t>Predviđa se da će rast potrošačkih cijena u 2021. godini snažno ubrzati te će iznositi 2,0%, čemu će najjače doprinijeti izraženo povećanje cijena energije, uslijed rasta cijena nafte na svjetskom tržištu. Nadalje, snažan doprinos inflaciji doći će i od ubrzanja rasta potrošačkih cijena koje isključuju hranu i energiju. U 2021. godini očekuje se i nastavak rasta cijena hrane, pića i duhana, a pozitivan doprinos inflaciji doći će i od povećanja trošarina na duhan i duhanske proizvode iz ožujka 2021</w:t>
      </w:r>
      <w:r w:rsidRPr="00A93054">
        <w:rPr>
          <w:rFonts w:ascii="Calibri" w:eastAsia="Calibri" w:hAnsi="Calibri" w:cs="Times New Roman"/>
          <w:lang w:val="hr-HR"/>
        </w:rPr>
        <w:t xml:space="preserve">. </w:t>
      </w:r>
      <w:r w:rsidRPr="00A93054">
        <w:rPr>
          <w:rFonts w:eastAsia="Times New Roman" w:cs="Times New Roman"/>
          <w:color w:val="000000"/>
          <w:shd w:val="clear" w:color="auto" w:fill="FFFFFF"/>
          <w:lang w:val="hr-HR" w:eastAsia="hr-HR"/>
        </w:rPr>
        <w:t>U 202</w:t>
      </w:r>
      <w:r>
        <w:rPr>
          <w:rFonts w:eastAsia="Times New Roman" w:cs="Times New Roman"/>
          <w:color w:val="000000"/>
          <w:shd w:val="clear" w:color="auto" w:fill="FFFFFF"/>
          <w:lang w:val="hr-HR" w:eastAsia="hr-HR"/>
        </w:rPr>
        <w:t>2. godini očekuje se usporavanje</w:t>
      </w:r>
      <w:r w:rsidRPr="00A93054">
        <w:rPr>
          <w:rFonts w:eastAsia="Times New Roman" w:cs="Times New Roman"/>
          <w:color w:val="000000"/>
          <w:shd w:val="clear" w:color="auto" w:fill="FFFFFF"/>
          <w:lang w:val="hr-HR" w:eastAsia="hr-HR"/>
        </w:rPr>
        <w:t xml:space="preserve"> inflacije na 1,7%, uslijed nižeg doprinosa cijena energije, dok će rast potrošačkih cijena bez energije zabilježiti ubrzanje. U ostatku projekcijskog razdoblja se očekuje postupno ubrzanje inflacije na razine od 2,0% u 2023. i 2,3% u 2024. godini, u uvjetima očekivanog rasta potrošnje kućanstava i povećanja inflacije u </w:t>
      </w:r>
      <w:proofErr w:type="spellStart"/>
      <w:r w:rsidRPr="00A93054">
        <w:rPr>
          <w:rFonts w:eastAsia="Times New Roman" w:cs="Times New Roman"/>
          <w:color w:val="000000"/>
          <w:shd w:val="clear" w:color="auto" w:fill="FFFFFF"/>
          <w:lang w:val="hr-HR" w:eastAsia="hr-HR"/>
        </w:rPr>
        <w:t>eurozoni</w:t>
      </w:r>
      <w:proofErr w:type="spellEnd"/>
      <w:r w:rsidRPr="00A93054">
        <w:rPr>
          <w:rFonts w:eastAsia="Times New Roman" w:cs="Times New Roman"/>
          <w:color w:val="000000"/>
          <w:shd w:val="clear" w:color="auto" w:fill="FFFFFF"/>
          <w:lang w:val="hr-HR" w:eastAsia="hr-HR"/>
        </w:rPr>
        <w:t xml:space="preserve">, dok </w:t>
      </w:r>
      <w:r w:rsidRPr="00A93054">
        <w:rPr>
          <w:rFonts w:eastAsia="Times New Roman" w:cs="Times New Roman"/>
          <w:color w:val="000000"/>
          <w:shd w:val="clear" w:color="auto" w:fill="FFFFFF"/>
          <w:lang w:val="hr-HR" w:eastAsia="hr-HR"/>
        </w:rPr>
        <w:lastRenderedPageBreak/>
        <w:t>će</w:t>
      </w:r>
      <w:r w:rsidRPr="00A93054">
        <w:rPr>
          <w:rFonts w:eastAsia="Times New Roman" w:cs="Times New Roman"/>
          <w:shd w:val="clear" w:color="auto" w:fill="FFFFFF"/>
          <w:lang w:val="hr-HR" w:eastAsia="hr-HR"/>
        </w:rPr>
        <w:t xml:space="preserve"> cijene sirovina na svjetskom tržištu imati prigušenu dinamiku. Pritom su u</w:t>
      </w:r>
      <w:r w:rsidRPr="00A93054">
        <w:rPr>
          <w:lang w:val="hr-HR"/>
        </w:rPr>
        <w:t xml:space="preserve"> navedenu projekciju uključeni učinci NPOO-a, koji upućuju na blagi učinak na rast cijena u 2021. i 2022. te izraženiji učinak u posljednje dvije godine projekcijskog razdoblja.</w:t>
      </w:r>
    </w:p>
    <w:bookmarkEnd w:id="8"/>
    <w:p w:rsidR="00D6024D" w:rsidRPr="008D7F9E" w:rsidRDefault="00D6024D" w:rsidP="00D6024D">
      <w:pPr>
        <w:jc w:val="both"/>
        <w:rPr>
          <w:lang w:val="hr-HR"/>
        </w:rPr>
      </w:pPr>
      <w:r w:rsidRPr="008D7F9E">
        <w:rPr>
          <w:lang w:val="hr-HR"/>
        </w:rPr>
        <w:t xml:space="preserve">Iako je neposredno nakon izbijanja </w:t>
      </w:r>
      <w:proofErr w:type="spellStart"/>
      <w:r w:rsidRPr="008D7F9E">
        <w:rPr>
          <w:lang w:val="hr-HR"/>
        </w:rPr>
        <w:t>pandemije</w:t>
      </w:r>
      <w:proofErr w:type="spellEnd"/>
      <w:r w:rsidRPr="008D7F9E">
        <w:rPr>
          <w:lang w:val="hr-HR"/>
        </w:rPr>
        <w:t xml:space="preserve"> došlo do povećanja broja nezaposlenih te smanjenja broja zaposlenih osoba, nepovoljna kretanja ipak su bila manje izražena u odnosu na inicijalna očekivanja. Tako je na razini čitave 2020. godine ostvaren pad broja zaposlenih od 1,2%, dok je anketna stopa nezaposlenosti povećana je sa 6,6% iz 2019. na 7,5% u 2020. godini. R</w:t>
      </w:r>
      <w:r w:rsidRPr="008D7F9E">
        <w:rPr>
          <w:rFonts w:eastAsia="Times New Roman" w:cs="Times New Roman"/>
          <w:color w:val="000000"/>
          <w:shd w:val="clear" w:color="auto" w:fill="FFFFFF"/>
          <w:lang w:val="hr-HR" w:eastAsia="hr-HR"/>
        </w:rPr>
        <w:t xml:space="preserve">adna snaga je u 2020. zabilježila pad od 0,4%, što predstavlja neznatno sporiji pad u odnosu na prethodnu godinu. </w:t>
      </w:r>
      <w:r w:rsidRPr="008D7F9E">
        <w:rPr>
          <w:lang w:val="hr-HR"/>
        </w:rPr>
        <w:t xml:space="preserve">Uvođenje potpore za očuvanje radnih mjesta Hrvatskog zavoda za zapošljavanje znatno je ublažilo utjecaj krize uzrokovane COVID-19 </w:t>
      </w:r>
      <w:proofErr w:type="spellStart"/>
      <w:r w:rsidRPr="008D7F9E">
        <w:rPr>
          <w:lang w:val="hr-HR"/>
        </w:rPr>
        <w:t>pandemijom</w:t>
      </w:r>
      <w:proofErr w:type="spellEnd"/>
      <w:r w:rsidRPr="008D7F9E">
        <w:rPr>
          <w:lang w:val="hr-HR"/>
        </w:rPr>
        <w:t xml:space="preserve"> na tržište rada.</w:t>
      </w:r>
      <w:r w:rsidRPr="008D7F9E">
        <w:rPr>
          <w:shd w:val="clear" w:color="auto" w:fill="FFFFFF"/>
          <w:lang w:val="hr-HR"/>
        </w:rPr>
        <w:t xml:space="preserve"> </w:t>
      </w:r>
      <w:r w:rsidRPr="008D7F9E">
        <w:rPr>
          <w:rFonts w:eastAsia="Times New Roman" w:cs="Times New Roman"/>
          <w:shd w:val="clear" w:color="auto" w:fill="FFFFFF"/>
          <w:lang w:val="hr-HR" w:eastAsia="hr-HR"/>
        </w:rPr>
        <w:t>Očekuje se da će gospodarski rast u idućim godinama dovesti do snažnog oporavka broja zaposlenih</w:t>
      </w:r>
      <w:r w:rsidRPr="008D7F9E">
        <w:rPr>
          <w:lang w:val="hr-HR"/>
        </w:rPr>
        <w:t xml:space="preserve"> po stopi od 2,3% u 2021., koja će potom usporiti na 1,6% u 2022. i 2023. te 1,4% u posljednjoj godini projekcijskog razdoblja. U navedenu projekciju rasta zaposlenosti uključeni su učinci NPOO-a koji upućuju na blagi učinak na rast zaposlenosti u 2021. te snažniji učinak u preostale tri godine projekcijskog razdoblja, od prosječno 0,4 postotna boda.</w:t>
      </w:r>
      <w:r>
        <w:rPr>
          <w:lang w:val="hr-HR"/>
        </w:rPr>
        <w:t xml:space="preserve"> </w:t>
      </w:r>
      <w:r w:rsidRPr="008D7F9E">
        <w:rPr>
          <w:lang w:val="hr-HR"/>
        </w:rPr>
        <w:t xml:space="preserve">U 2021. godini se očekuje smanjenje stope nezaposlenosti na 7,0%, nakon čeka će se ona nastaviti kontinuirano smanjivati prema stopi od 5,7% krajem srednjoročnog razdoblja. </w:t>
      </w:r>
    </w:p>
    <w:p w:rsidR="00D6024D" w:rsidRDefault="00D6024D" w:rsidP="00D6024D">
      <w:pPr>
        <w:jc w:val="both"/>
      </w:pPr>
      <w:r w:rsidRPr="00905171">
        <w:rPr>
          <w:lang w:val="hr-HR"/>
        </w:rPr>
        <w:t xml:space="preserve">Opisani makroekonomski scenarij izložen je snažnim rizicima, među kojima dominiraju negativni rizici. Prvi dio čine rizici vezani uz </w:t>
      </w:r>
      <w:r w:rsidRPr="00F62E4E">
        <w:rPr>
          <w:lang w:val="hr-HR"/>
        </w:rPr>
        <w:t xml:space="preserve">epidemiološku situaciju, koji primarno proizlaze iz trajanja </w:t>
      </w:r>
      <w:proofErr w:type="spellStart"/>
      <w:r w:rsidRPr="00F62E4E">
        <w:rPr>
          <w:lang w:val="hr-HR"/>
        </w:rPr>
        <w:t>pandemije</w:t>
      </w:r>
      <w:proofErr w:type="spellEnd"/>
      <w:r w:rsidRPr="00F62E4E">
        <w:rPr>
          <w:lang w:val="hr-HR"/>
        </w:rPr>
        <w:t xml:space="preserve"> COVID-19 i uspješnosti programa cijepljenja. Uz poteškoće u procjepljivanju stanovništva, negativan rizik predstavlja i mogućnost pojave novih sojeva virusa otpornih na postojeća cjepiva. Epidemiološka situacija predstavlja posebno izražen rizik za projekcije kretanja u domaćem turističkom sektoru. Druga skupina rizika odnosi se izravno na ekonomiju. Neizvjesnost u realnoj ekonomskoj sferi vezana je prvenstveno za dinamiku oporavka globalnog sektora usluga. Nadalje, posljedice COVID-19 recesije na svjetska gospodarstva mogle biti bi biti dublje</w:t>
      </w:r>
      <w:r w:rsidRPr="002F0019">
        <w:rPr>
          <w:lang w:val="hr-HR"/>
        </w:rPr>
        <w:t xml:space="preserve"> i dugotrajnije od očekivanih. Ovo se odnosi kako na tržišta roba i usluga, tako i na tržišta rada, gdje i dalje nije izvjesno kakav će biti krajnji učinak udara COVID-19 krize na kretanje radne snage u uslužnim djelatnostima. Također, među rizicima ističu se potencijalni poremećaji na tržištima privatnog i javnog duga, mogući snažni ispravci kod neke od ostalih klasa financijske imovine te rizik ubrzane </w:t>
      </w:r>
      <w:proofErr w:type="spellStart"/>
      <w:r w:rsidRPr="002F0019">
        <w:rPr>
          <w:lang w:val="hr-HR"/>
        </w:rPr>
        <w:t>deglobalizacije</w:t>
      </w:r>
      <w:proofErr w:type="spellEnd"/>
      <w:r w:rsidRPr="002F0019">
        <w:rPr>
          <w:lang w:val="hr-HR"/>
        </w:rPr>
        <w:t xml:space="preserve">. Konačno, </w:t>
      </w:r>
      <w:r w:rsidRPr="001B470A">
        <w:rPr>
          <w:lang w:val="hr-HR"/>
        </w:rPr>
        <w:t xml:space="preserve">uz već opisane pojave i rizike, trenutno prisutni poremećaji u globalnim lancima opskrbe, ukoliko budu trajnijeg karaktera, mogli bi dovesti do izraženijeg povećanja inflacije, a pogotovo uz trenutni volumen i dinamiku </w:t>
      </w:r>
      <w:proofErr w:type="spellStart"/>
      <w:r w:rsidRPr="001B470A">
        <w:rPr>
          <w:lang w:val="hr-HR"/>
        </w:rPr>
        <w:t>monetizacije</w:t>
      </w:r>
      <w:proofErr w:type="spellEnd"/>
      <w:r w:rsidRPr="001B470A">
        <w:rPr>
          <w:lang w:val="hr-HR"/>
        </w:rPr>
        <w:t xml:space="preserve"> dugova. Što se tiče nekih istaknutih rizika domaćeg gospodarstva, ovdje još valja nadodati kako ukidanje moratorija na otplatu kredita može dovesti do povećanja nenaplativih </w:t>
      </w:r>
      <w:r w:rsidRPr="009670F3">
        <w:rPr>
          <w:lang w:val="hr-HR"/>
        </w:rPr>
        <w:t xml:space="preserve">kredita domaćih sektora. </w:t>
      </w:r>
    </w:p>
    <w:p w:rsidR="00D6024D" w:rsidRPr="00D6024D" w:rsidRDefault="00D6024D" w:rsidP="00EC1F06">
      <w:pPr>
        <w:rPr>
          <w:rFonts w:ascii="Calibri" w:hAnsi="Calibri"/>
          <w:bCs/>
          <w:i/>
          <w:sz w:val="20"/>
          <w:szCs w:val="20"/>
          <w:lang w:val="hr-HR"/>
        </w:rPr>
      </w:pPr>
    </w:p>
    <w:p w:rsidR="00E52BDF" w:rsidRPr="00D6024D" w:rsidRDefault="00E52BDF" w:rsidP="00D6024D">
      <w:pPr>
        <w:spacing w:afterLines="120" w:after="288"/>
        <w:jc w:val="both"/>
        <w:rPr>
          <w:rFonts w:eastAsia="Calibri" w:cs="Times New Roman"/>
          <w:lang w:val="hr-HR"/>
        </w:rPr>
      </w:pPr>
      <w:r w:rsidRPr="00861A1A">
        <w:rPr>
          <w:highlight w:val="yellow"/>
          <w:lang w:val="hr-HR"/>
        </w:rPr>
        <w:br w:type="page"/>
      </w:r>
    </w:p>
    <w:p w:rsidR="00E52BDF" w:rsidRPr="002407CD" w:rsidRDefault="00E52BDF" w:rsidP="00E52BDF">
      <w:pPr>
        <w:pStyle w:val="Naslov1"/>
        <w:numPr>
          <w:ilvl w:val="0"/>
          <w:numId w:val="1"/>
        </w:numPr>
        <w:rPr>
          <w:lang w:val="hr-HR"/>
        </w:rPr>
      </w:pPr>
      <w:bookmarkStart w:id="9" w:name="_Toc78395755"/>
      <w:r w:rsidRPr="002407CD">
        <w:rPr>
          <w:lang w:val="hr-HR"/>
        </w:rPr>
        <w:lastRenderedPageBreak/>
        <w:t>FISKALNI OKVIR U SREDNJOROČNOM RAZDOBLJU</w:t>
      </w:r>
      <w:bookmarkEnd w:id="9"/>
    </w:p>
    <w:p w:rsidR="00E52BDF" w:rsidRPr="00861A1A" w:rsidRDefault="00E52BDF" w:rsidP="00E52BDF">
      <w:pPr>
        <w:rPr>
          <w:highlight w:val="yellow"/>
          <w:lang w:val="hr-HR"/>
        </w:rPr>
      </w:pPr>
    </w:p>
    <w:p w:rsidR="00E52BDF" w:rsidRPr="00105DC4" w:rsidRDefault="00E52BDF" w:rsidP="00E52BDF">
      <w:pPr>
        <w:pStyle w:val="Naslov2"/>
        <w:numPr>
          <w:ilvl w:val="1"/>
          <w:numId w:val="1"/>
        </w:numPr>
        <w:rPr>
          <w:lang w:val="hr-HR"/>
        </w:rPr>
      </w:pPr>
      <w:bookmarkStart w:id="10" w:name="_Toc487786372"/>
      <w:bookmarkStart w:id="11" w:name="_Toc78395756"/>
      <w:r w:rsidRPr="00105DC4">
        <w:rPr>
          <w:lang w:val="hr-HR"/>
        </w:rPr>
        <w:t xml:space="preserve">Kretanje prihoda </w:t>
      </w:r>
      <w:r w:rsidR="00CB1B9D" w:rsidRPr="00105DC4">
        <w:rPr>
          <w:lang w:val="hr-HR"/>
        </w:rPr>
        <w:t xml:space="preserve">državnog proračuna </w:t>
      </w:r>
      <w:r w:rsidR="00F35025" w:rsidRPr="00105DC4">
        <w:rPr>
          <w:lang w:val="hr-HR"/>
        </w:rPr>
        <w:t>u razdoblju 202</w:t>
      </w:r>
      <w:r w:rsidR="00574FD0">
        <w:rPr>
          <w:lang w:val="hr-HR"/>
        </w:rPr>
        <w:t>2</w:t>
      </w:r>
      <w:r w:rsidRPr="00105DC4">
        <w:rPr>
          <w:lang w:val="hr-HR"/>
        </w:rPr>
        <w:t>. – 202</w:t>
      </w:r>
      <w:r w:rsidR="00574FD0">
        <w:rPr>
          <w:lang w:val="hr-HR"/>
        </w:rPr>
        <w:t>4</w:t>
      </w:r>
      <w:r w:rsidRPr="00105DC4">
        <w:rPr>
          <w:lang w:val="hr-HR"/>
        </w:rPr>
        <w:t>.</w:t>
      </w:r>
      <w:bookmarkEnd w:id="10"/>
      <w:bookmarkEnd w:id="11"/>
      <w:r w:rsidRPr="00105DC4">
        <w:rPr>
          <w:lang w:val="hr-HR"/>
        </w:rPr>
        <w:t xml:space="preserve">  </w:t>
      </w:r>
    </w:p>
    <w:p w:rsidR="00E52BDF" w:rsidRDefault="00E52BDF" w:rsidP="00E52BDF">
      <w:pPr>
        <w:rPr>
          <w:highlight w:val="yellow"/>
          <w:lang w:val="hr-HR"/>
        </w:rPr>
      </w:pPr>
    </w:p>
    <w:p w:rsidR="00E80063" w:rsidRPr="0091341E" w:rsidRDefault="00E80063" w:rsidP="00E80063">
      <w:pPr>
        <w:jc w:val="both"/>
        <w:rPr>
          <w:rFonts w:ascii="Calibri" w:hAnsi="Calibri"/>
          <w:lang w:val="hr-HR"/>
        </w:rPr>
      </w:pPr>
      <w:bookmarkStart w:id="12" w:name="_Toc487786112"/>
      <w:r>
        <w:rPr>
          <w:rFonts w:ascii="Calibri" w:hAnsi="Calibri"/>
          <w:lang w:val="hr-HR"/>
        </w:rPr>
        <w:t xml:space="preserve">Kretanja prihoda državnog proračuna u razdoblju 2022. – 2024. određena su očekivanim oporavkom gospodarske aktivnosti, </w:t>
      </w:r>
      <w:r w:rsidRPr="00F81377">
        <w:rPr>
          <w:lang w:val="hr-HR"/>
        </w:rPr>
        <w:t>uzimajući u obzir</w:t>
      </w:r>
      <w:r>
        <w:rPr>
          <w:lang w:val="hr-HR"/>
        </w:rPr>
        <w:t xml:space="preserve"> cjelogodišnje </w:t>
      </w:r>
      <w:r w:rsidRPr="00F81377">
        <w:rPr>
          <w:lang w:val="hr-HR"/>
        </w:rPr>
        <w:t xml:space="preserve">fiskalne učinke </w:t>
      </w:r>
      <w:r>
        <w:rPr>
          <w:lang w:val="hr-HR"/>
        </w:rPr>
        <w:t>provedenih</w:t>
      </w:r>
      <w:r w:rsidRPr="00F81377">
        <w:rPr>
          <w:lang w:val="hr-HR"/>
        </w:rPr>
        <w:t xml:space="preserve"> poreznih izmjena u okviru sustava poreza na dobit, poreza na dohodak, poreza na dodanu vrijednost te trošarinskih propisa.</w:t>
      </w:r>
      <w:r>
        <w:rPr>
          <w:rFonts w:ascii="Calibri" w:hAnsi="Calibri"/>
          <w:lang w:val="hr-HR"/>
        </w:rPr>
        <w:t xml:space="preserve"> </w:t>
      </w:r>
      <w:r w:rsidRPr="00F81377">
        <w:rPr>
          <w:lang w:val="hr-HR"/>
        </w:rPr>
        <w:t xml:space="preserve">Značajan učinak na prihode proračuna imat će i povlačenje sredstva iz EU fondova, ponajprije iz tekućeg Višegodišnjeg financijskog okvira 2014.- 2020., ali se predviđaju i nova sredstva iz Višegodišnjeg financijskog okvira 2021. – 2027. Nadalje, u fiskalne projekcije uključeno je i korištenje sredstava iz novog instrumenta EU Nove generacije, koja će se usmjeriti za jačanje oporavka i otpornosti gospodarstva kroz razvojne, strateške i reformske projekte, </w:t>
      </w:r>
      <w:r>
        <w:rPr>
          <w:lang w:val="hr-HR"/>
        </w:rPr>
        <w:t>što će</w:t>
      </w:r>
      <w:r w:rsidRPr="00F81377">
        <w:rPr>
          <w:lang w:val="hr-HR"/>
        </w:rPr>
        <w:t xml:space="preserve"> uz održive javne financije</w:t>
      </w:r>
      <w:r>
        <w:rPr>
          <w:lang w:val="hr-HR"/>
        </w:rPr>
        <w:t>,</w:t>
      </w:r>
      <w:r w:rsidRPr="00F81377">
        <w:rPr>
          <w:lang w:val="hr-HR"/>
        </w:rPr>
        <w:t xml:space="preserve"> omogućiti brzi oporavak ekonomije. Uz navedeno, u proračunu su projicirana i sredstva iz Fonda solidarnosti EU za financiranje dijela obnove javne infrastrukture, ponajprije obrazovne, zdravstvene i kulturne, oštećene u </w:t>
      </w:r>
      <w:r>
        <w:rPr>
          <w:lang w:val="hr-HR"/>
        </w:rPr>
        <w:t xml:space="preserve">razornim </w:t>
      </w:r>
      <w:r w:rsidRPr="00F81377">
        <w:rPr>
          <w:lang w:val="hr-HR"/>
        </w:rPr>
        <w:t>potres</w:t>
      </w:r>
      <w:r>
        <w:rPr>
          <w:lang w:val="hr-HR"/>
        </w:rPr>
        <w:t>ima</w:t>
      </w:r>
      <w:r w:rsidRPr="00F81377">
        <w:rPr>
          <w:lang w:val="hr-HR"/>
        </w:rPr>
        <w:t>.</w:t>
      </w:r>
    </w:p>
    <w:p w:rsidR="00E80063" w:rsidRPr="00F81377" w:rsidRDefault="00E80063" w:rsidP="00E80063">
      <w:pPr>
        <w:jc w:val="both"/>
        <w:rPr>
          <w:lang w:val="hr-HR"/>
        </w:rPr>
      </w:pPr>
      <w:r w:rsidRPr="00F81377">
        <w:rPr>
          <w:lang w:val="hr-HR"/>
        </w:rPr>
        <w:t xml:space="preserve">Od 1. siječnja 2021. stopa poreza na dobit za sve poduzetnike koji imaju promet do 7,5 milijuna kuna smanjuje se s 12% na 10%, dok se u sustavu poreza na dohodak snižavaju stope poreza na dohodak s 36% na 30% te s 24% na 20%. </w:t>
      </w:r>
      <w:r>
        <w:rPr>
          <w:lang w:val="hr-HR"/>
        </w:rPr>
        <w:t xml:space="preserve">Od 1. ožujka 2021. u primjeni su nove visine trošarina na duhanske proizvode, a 1. srpnja 2021. </w:t>
      </w:r>
      <w:r w:rsidR="00633C87">
        <w:rPr>
          <w:lang w:val="hr-HR"/>
        </w:rPr>
        <w:t>ukinuto je</w:t>
      </w:r>
      <w:r w:rsidRPr="00F81377">
        <w:rPr>
          <w:lang w:val="hr-HR"/>
        </w:rPr>
        <w:t xml:space="preserve"> oslobođenje od plaćanja PDV-a pri uvozu dobara male vrijednosti. </w:t>
      </w:r>
    </w:p>
    <w:p w:rsidR="00E80063" w:rsidRDefault="00160607" w:rsidP="00E80063">
      <w:pPr>
        <w:jc w:val="both"/>
        <w:rPr>
          <w:rFonts w:ascii="Calibri" w:hAnsi="Calibri"/>
          <w:lang w:val="hr-HR"/>
        </w:rPr>
      </w:pPr>
      <w:r>
        <w:rPr>
          <w:rFonts w:ascii="Calibri" w:hAnsi="Calibri"/>
          <w:lang w:val="hr-HR"/>
        </w:rPr>
        <w:t>Projicirani gospodarski oporavak u narednom srednjoročnom razdoblju odrazit će se i na</w:t>
      </w:r>
      <w:r w:rsidR="00E80063">
        <w:rPr>
          <w:rFonts w:ascii="Calibri" w:hAnsi="Calibri"/>
          <w:lang w:val="hr-HR"/>
        </w:rPr>
        <w:t xml:space="preserve"> prihodnu stranu proračuna. </w:t>
      </w:r>
      <w:r>
        <w:rPr>
          <w:rFonts w:ascii="Calibri" w:hAnsi="Calibri"/>
          <w:lang w:val="hr-HR"/>
        </w:rPr>
        <w:t xml:space="preserve">Tako su </w:t>
      </w:r>
      <w:r w:rsidR="00E80063">
        <w:rPr>
          <w:rFonts w:ascii="Calibri" w:hAnsi="Calibri"/>
          <w:lang w:val="hr-HR"/>
        </w:rPr>
        <w:t xml:space="preserve">u 2022. godini ukupni prihodi državnog proračuna projicirani u iznosu </w:t>
      </w:r>
      <w:r w:rsidR="00E80063" w:rsidRPr="002522AE">
        <w:rPr>
          <w:rFonts w:ascii="Calibri" w:hAnsi="Calibri"/>
          <w:lang w:val="hr-HR"/>
        </w:rPr>
        <w:t>od 15</w:t>
      </w:r>
      <w:r w:rsidR="00425226">
        <w:rPr>
          <w:rFonts w:ascii="Calibri" w:hAnsi="Calibri"/>
          <w:lang w:val="hr-HR"/>
        </w:rPr>
        <w:t>8</w:t>
      </w:r>
      <w:r w:rsidR="00E80063" w:rsidRPr="002522AE">
        <w:rPr>
          <w:rFonts w:ascii="Calibri" w:hAnsi="Calibri"/>
          <w:lang w:val="hr-HR"/>
        </w:rPr>
        <w:t>,</w:t>
      </w:r>
      <w:r w:rsidR="00425226">
        <w:rPr>
          <w:rFonts w:ascii="Calibri" w:hAnsi="Calibri"/>
          <w:lang w:val="hr-HR"/>
        </w:rPr>
        <w:t>8</w:t>
      </w:r>
      <w:r w:rsidR="00E80063" w:rsidRPr="002522AE">
        <w:rPr>
          <w:rFonts w:ascii="Calibri" w:hAnsi="Calibri"/>
          <w:lang w:val="hr-HR"/>
        </w:rPr>
        <w:t xml:space="preserve"> milijard</w:t>
      </w:r>
      <w:r>
        <w:rPr>
          <w:rFonts w:ascii="Calibri" w:hAnsi="Calibri"/>
          <w:lang w:val="hr-HR"/>
        </w:rPr>
        <w:t>i</w:t>
      </w:r>
      <w:r w:rsidR="00E80063" w:rsidRPr="002522AE">
        <w:rPr>
          <w:rFonts w:ascii="Calibri" w:hAnsi="Calibri"/>
          <w:lang w:val="hr-HR"/>
        </w:rPr>
        <w:t xml:space="preserve"> kuna</w:t>
      </w:r>
      <w:r w:rsidR="00E80063">
        <w:rPr>
          <w:rFonts w:ascii="Calibri" w:hAnsi="Calibri"/>
          <w:lang w:val="hr-HR"/>
        </w:rPr>
        <w:t xml:space="preserve">. U 2023. </w:t>
      </w:r>
      <w:r>
        <w:rPr>
          <w:rFonts w:ascii="Calibri" w:hAnsi="Calibri"/>
          <w:lang w:val="hr-HR"/>
        </w:rPr>
        <w:t>isti</w:t>
      </w:r>
      <w:r w:rsidR="00E80063">
        <w:rPr>
          <w:rFonts w:ascii="Calibri" w:hAnsi="Calibri"/>
          <w:lang w:val="hr-HR"/>
        </w:rPr>
        <w:t xml:space="preserve"> će</w:t>
      </w:r>
      <w:r>
        <w:rPr>
          <w:rFonts w:ascii="Calibri" w:hAnsi="Calibri"/>
          <w:lang w:val="hr-HR"/>
        </w:rPr>
        <w:t xml:space="preserve"> porasti</w:t>
      </w:r>
      <w:r w:rsidR="00E80063">
        <w:rPr>
          <w:rFonts w:ascii="Calibri" w:hAnsi="Calibri"/>
          <w:lang w:val="hr-HR"/>
        </w:rPr>
        <w:t xml:space="preserve"> </w:t>
      </w:r>
      <w:r w:rsidR="00E80063" w:rsidRPr="002522AE">
        <w:rPr>
          <w:rFonts w:ascii="Calibri" w:hAnsi="Calibri"/>
          <w:lang w:val="hr-HR"/>
        </w:rPr>
        <w:t xml:space="preserve">za </w:t>
      </w:r>
      <w:r w:rsidR="00425226">
        <w:rPr>
          <w:rFonts w:ascii="Calibri" w:hAnsi="Calibri"/>
          <w:lang w:val="hr-HR"/>
        </w:rPr>
        <w:t>3</w:t>
      </w:r>
      <w:r w:rsidR="00E80063" w:rsidRPr="002522AE">
        <w:rPr>
          <w:rFonts w:ascii="Calibri" w:hAnsi="Calibri"/>
          <w:lang w:val="hr-HR"/>
        </w:rPr>
        <w:t>,</w:t>
      </w:r>
      <w:r w:rsidR="00425226">
        <w:rPr>
          <w:rFonts w:ascii="Calibri" w:hAnsi="Calibri"/>
          <w:lang w:val="hr-HR"/>
        </w:rPr>
        <w:t>5</w:t>
      </w:r>
      <w:r w:rsidR="00E80063">
        <w:rPr>
          <w:rFonts w:ascii="Calibri" w:hAnsi="Calibri"/>
          <w:lang w:val="hr-HR"/>
        </w:rPr>
        <w:t xml:space="preserve">% </w:t>
      </w:r>
      <w:r>
        <w:rPr>
          <w:rFonts w:ascii="Calibri" w:hAnsi="Calibri"/>
          <w:lang w:val="hr-HR"/>
        </w:rPr>
        <w:t>odnosno</w:t>
      </w:r>
      <w:r w:rsidR="00E80063">
        <w:rPr>
          <w:rFonts w:ascii="Calibri" w:hAnsi="Calibri"/>
          <w:lang w:val="hr-HR"/>
        </w:rPr>
        <w:t xml:space="preserve"> iznosit</w:t>
      </w:r>
      <w:r>
        <w:rPr>
          <w:rFonts w:ascii="Calibri" w:hAnsi="Calibri"/>
          <w:lang w:val="hr-HR"/>
        </w:rPr>
        <w:t xml:space="preserve"> će</w:t>
      </w:r>
      <w:r w:rsidR="00E80063">
        <w:rPr>
          <w:rFonts w:ascii="Calibri" w:hAnsi="Calibri"/>
          <w:lang w:val="hr-HR"/>
        </w:rPr>
        <w:t xml:space="preserve"> </w:t>
      </w:r>
      <w:r w:rsidR="00E80063" w:rsidRPr="002522AE">
        <w:rPr>
          <w:rFonts w:ascii="Calibri" w:hAnsi="Calibri"/>
          <w:lang w:val="hr-HR"/>
        </w:rPr>
        <w:t>164,</w:t>
      </w:r>
      <w:r w:rsidR="00425226">
        <w:rPr>
          <w:rFonts w:ascii="Calibri" w:hAnsi="Calibri"/>
          <w:lang w:val="hr-HR"/>
        </w:rPr>
        <w:t>4</w:t>
      </w:r>
      <w:r w:rsidR="00E80063" w:rsidRPr="002522AE">
        <w:rPr>
          <w:rFonts w:ascii="Calibri" w:hAnsi="Calibri"/>
          <w:lang w:val="hr-HR"/>
        </w:rPr>
        <w:t xml:space="preserve"> milijarde kuna, dok se </w:t>
      </w:r>
      <w:r>
        <w:rPr>
          <w:rFonts w:ascii="Calibri" w:hAnsi="Calibri"/>
          <w:lang w:val="hr-HR"/>
        </w:rPr>
        <w:t>u</w:t>
      </w:r>
      <w:r w:rsidR="00E80063" w:rsidRPr="002522AE">
        <w:rPr>
          <w:rFonts w:ascii="Calibri" w:hAnsi="Calibri"/>
          <w:lang w:val="hr-HR"/>
        </w:rPr>
        <w:t xml:space="preserve"> 2024. godin</w:t>
      </w:r>
      <w:r>
        <w:rPr>
          <w:rFonts w:ascii="Calibri" w:hAnsi="Calibri"/>
          <w:lang w:val="hr-HR"/>
        </w:rPr>
        <w:t>i</w:t>
      </w:r>
      <w:r w:rsidR="00E80063" w:rsidRPr="002522AE">
        <w:rPr>
          <w:rFonts w:ascii="Calibri" w:hAnsi="Calibri"/>
          <w:lang w:val="hr-HR"/>
        </w:rPr>
        <w:t xml:space="preserve"> ukupni prihodi predviđaju u iznosu od 16</w:t>
      </w:r>
      <w:r w:rsidR="00425226">
        <w:rPr>
          <w:rFonts w:ascii="Calibri" w:hAnsi="Calibri"/>
          <w:lang w:val="hr-HR"/>
        </w:rPr>
        <w:t>4,8</w:t>
      </w:r>
      <w:r w:rsidR="00E80063" w:rsidRPr="002522AE">
        <w:rPr>
          <w:rFonts w:ascii="Calibri" w:hAnsi="Calibri"/>
          <w:lang w:val="hr-HR"/>
        </w:rPr>
        <w:t xml:space="preserve"> milijardi kuna, odnosno uz međugodišnji rast od 0,</w:t>
      </w:r>
      <w:r w:rsidR="00425226">
        <w:rPr>
          <w:rFonts w:ascii="Calibri" w:hAnsi="Calibri"/>
          <w:lang w:val="hr-HR"/>
        </w:rPr>
        <w:t>2</w:t>
      </w:r>
      <w:r w:rsidR="00E80063" w:rsidRPr="002522AE">
        <w:rPr>
          <w:rFonts w:ascii="Calibri" w:hAnsi="Calibri"/>
          <w:lang w:val="hr-HR"/>
        </w:rPr>
        <w:t>%.</w:t>
      </w:r>
      <w:r w:rsidR="00E80063">
        <w:rPr>
          <w:rFonts w:ascii="Calibri" w:hAnsi="Calibri"/>
          <w:lang w:val="hr-HR"/>
        </w:rPr>
        <w:t xml:space="preserve"> </w:t>
      </w:r>
    </w:p>
    <w:p w:rsidR="00105DC4" w:rsidRDefault="00105DC4" w:rsidP="00105DC4">
      <w:pPr>
        <w:jc w:val="both"/>
        <w:rPr>
          <w:rFonts w:ascii="Calibri" w:hAnsi="Calibri"/>
          <w:b/>
          <w:i/>
          <w:lang w:val="hr-HR"/>
        </w:rPr>
      </w:pPr>
    </w:p>
    <w:p w:rsidR="00105DC4" w:rsidRPr="00C34746" w:rsidRDefault="00105DC4" w:rsidP="00105DC4">
      <w:pPr>
        <w:jc w:val="both"/>
        <w:rPr>
          <w:rFonts w:ascii="Calibri" w:hAnsi="Calibri"/>
          <w:b/>
          <w:i/>
          <w:sz w:val="24"/>
          <w:szCs w:val="24"/>
          <w:lang w:val="hr-HR"/>
        </w:rPr>
      </w:pPr>
      <w:r w:rsidRPr="00C34746">
        <w:rPr>
          <w:rFonts w:ascii="Calibri" w:hAnsi="Calibri"/>
          <w:b/>
          <w:i/>
          <w:sz w:val="24"/>
          <w:szCs w:val="24"/>
          <w:lang w:val="hr-HR"/>
        </w:rPr>
        <w:t xml:space="preserve">Prihodi od poreza </w:t>
      </w:r>
    </w:p>
    <w:p w:rsidR="00E80063" w:rsidRDefault="00E80063" w:rsidP="00E80063">
      <w:pPr>
        <w:jc w:val="both"/>
        <w:rPr>
          <w:rFonts w:ascii="Calibri" w:hAnsi="Calibri"/>
          <w:lang w:val="hr-HR"/>
        </w:rPr>
      </w:pPr>
      <w:r w:rsidRPr="00FA3515">
        <w:rPr>
          <w:rFonts w:ascii="Calibri" w:hAnsi="Calibri"/>
          <w:lang w:val="hr-HR"/>
        </w:rPr>
        <w:t>Porezni prihodi u 2022. godini projicirani su u iznosu od 86,8 milijard</w:t>
      </w:r>
      <w:r w:rsidR="008C52CB">
        <w:rPr>
          <w:rFonts w:ascii="Calibri" w:hAnsi="Calibri"/>
          <w:lang w:val="hr-HR"/>
        </w:rPr>
        <w:t>i</w:t>
      </w:r>
      <w:r w:rsidRPr="00FA3515">
        <w:rPr>
          <w:rFonts w:ascii="Calibri" w:hAnsi="Calibri"/>
          <w:lang w:val="hr-HR"/>
        </w:rPr>
        <w:t xml:space="preserve"> kuna.</w:t>
      </w:r>
      <w:r>
        <w:rPr>
          <w:rFonts w:ascii="Calibri" w:hAnsi="Calibri"/>
          <w:lang w:val="hr-HR"/>
        </w:rPr>
        <w:t xml:space="preserve"> U narednim godinama </w:t>
      </w:r>
      <w:r w:rsidRPr="00FA3515">
        <w:rPr>
          <w:rFonts w:ascii="Calibri" w:hAnsi="Calibri"/>
          <w:lang w:val="hr-HR"/>
        </w:rPr>
        <w:t>očekuje se daljnji rast prihoda od poreza te su oni za 2023. godinu projicirani u iznosu od 91,9 milijardi kuna</w:t>
      </w:r>
      <w:r w:rsidRPr="00423F85">
        <w:rPr>
          <w:rFonts w:ascii="Calibri" w:hAnsi="Calibri"/>
          <w:lang w:val="hr-HR"/>
        </w:rPr>
        <w:t xml:space="preserve">, odnosno uz </w:t>
      </w:r>
      <w:r w:rsidRPr="00FA3515">
        <w:rPr>
          <w:rFonts w:ascii="Calibri" w:hAnsi="Calibri"/>
          <w:lang w:val="hr-HR"/>
        </w:rPr>
        <w:t>međugodišnji rast od 5,8%</w:t>
      </w:r>
      <w:r w:rsidRPr="00423F85">
        <w:rPr>
          <w:rFonts w:ascii="Calibri" w:hAnsi="Calibri"/>
          <w:lang w:val="hr-HR"/>
        </w:rPr>
        <w:t>, dok se u 202</w:t>
      </w:r>
      <w:r>
        <w:rPr>
          <w:rFonts w:ascii="Calibri" w:hAnsi="Calibri"/>
          <w:lang w:val="hr-HR"/>
        </w:rPr>
        <w:t>4</w:t>
      </w:r>
      <w:r w:rsidRPr="00423F85">
        <w:rPr>
          <w:rFonts w:ascii="Calibri" w:hAnsi="Calibri"/>
          <w:lang w:val="hr-HR"/>
        </w:rPr>
        <w:t xml:space="preserve">. godini očekuju u iznosu od </w:t>
      </w:r>
      <w:r w:rsidRPr="00FA3515">
        <w:rPr>
          <w:rFonts w:ascii="Calibri" w:hAnsi="Calibri"/>
          <w:lang w:val="hr-HR"/>
        </w:rPr>
        <w:t>96,9 milijardi kuna ili 5,5% više u odnosu na prethodnu godinu.</w:t>
      </w:r>
      <w:r>
        <w:rPr>
          <w:rFonts w:ascii="Calibri" w:hAnsi="Calibri"/>
          <w:lang w:val="hr-HR"/>
        </w:rPr>
        <w:t xml:space="preserve"> </w:t>
      </w:r>
    </w:p>
    <w:p w:rsidR="00E80063" w:rsidRDefault="00E80063" w:rsidP="00E80063">
      <w:pPr>
        <w:jc w:val="both"/>
        <w:rPr>
          <w:rFonts w:ascii="Calibri" w:hAnsi="Calibri"/>
          <w:lang w:val="hr-HR"/>
        </w:rPr>
      </w:pPr>
      <w:r w:rsidRPr="002C068A">
        <w:rPr>
          <w:rFonts w:ascii="Calibri" w:hAnsi="Calibri"/>
          <w:lang w:val="hr-HR"/>
        </w:rPr>
        <w:t>Prihodi od poreza na dobit u 2022. projicirani su u iznosu od 9 milijardi kuna temeljem očekivanih kretanja poslovnih rezultata poduzeća tijekom 2021. godine</w:t>
      </w:r>
      <w:r>
        <w:rPr>
          <w:rFonts w:ascii="Calibri" w:hAnsi="Calibri"/>
          <w:lang w:val="hr-HR"/>
        </w:rPr>
        <w:t xml:space="preserve">. U 2023. </w:t>
      </w:r>
      <w:r w:rsidRPr="00423F85">
        <w:rPr>
          <w:rFonts w:ascii="Calibri" w:hAnsi="Calibri"/>
          <w:lang w:val="hr-HR"/>
        </w:rPr>
        <w:t xml:space="preserve">prihod od poreza na dobit očekuje se na </w:t>
      </w:r>
      <w:r w:rsidRPr="002C068A">
        <w:rPr>
          <w:rFonts w:ascii="Calibri" w:hAnsi="Calibri"/>
          <w:lang w:val="hr-HR"/>
        </w:rPr>
        <w:t>razini od 9,7 milijardi kuna, odnosno 10,5 milijardi kuna u 2024. godini.</w:t>
      </w:r>
    </w:p>
    <w:p w:rsidR="00E80063" w:rsidRDefault="00E80063" w:rsidP="00E80063">
      <w:pPr>
        <w:jc w:val="both"/>
        <w:rPr>
          <w:rFonts w:ascii="Calibri" w:hAnsi="Calibri"/>
          <w:lang w:val="hr-HR"/>
        </w:rPr>
      </w:pPr>
      <w:r w:rsidRPr="00DC161A">
        <w:rPr>
          <w:rFonts w:ascii="Calibri" w:hAnsi="Calibri"/>
          <w:lang w:val="hr-HR"/>
        </w:rPr>
        <w:t>Prihodi od poreza na dodanu vrijednost u 2022. godini projicirani su u iznosu od 59,4 milijardi kuna</w:t>
      </w:r>
      <w:r>
        <w:rPr>
          <w:rFonts w:ascii="Calibri" w:hAnsi="Calibri"/>
          <w:lang w:val="hr-HR"/>
        </w:rPr>
        <w:t xml:space="preserve">, na </w:t>
      </w:r>
      <w:r w:rsidRPr="006A169F">
        <w:rPr>
          <w:rFonts w:ascii="Calibri" w:hAnsi="Calibri"/>
          <w:lang w:val="hr-HR"/>
        </w:rPr>
        <w:t xml:space="preserve">temelju makroekonomskih projekcija koje uključuju rast osobne potrošnje, turističkih usluga, ali i rashoda </w:t>
      </w:r>
      <w:r w:rsidRPr="00706230">
        <w:rPr>
          <w:rFonts w:ascii="Calibri" w:hAnsi="Calibri"/>
          <w:lang w:val="hr-HR"/>
        </w:rPr>
        <w:t xml:space="preserve">države za </w:t>
      </w:r>
      <w:proofErr w:type="spellStart"/>
      <w:r w:rsidRPr="00706230">
        <w:rPr>
          <w:rFonts w:ascii="Calibri" w:hAnsi="Calibri"/>
          <w:lang w:val="hr-HR"/>
        </w:rPr>
        <w:t>intermedijarnu</w:t>
      </w:r>
      <w:proofErr w:type="spellEnd"/>
      <w:r w:rsidRPr="00706230">
        <w:rPr>
          <w:rFonts w:ascii="Calibri" w:hAnsi="Calibri"/>
          <w:lang w:val="hr-HR"/>
        </w:rPr>
        <w:t xml:space="preserve"> potrošnju, investicije te socijalne transfere u naravi. U 2023. godini prihod od poreza na dodanu vrijednost projicira se u iznosu od 63,1 milijardu kuna, a u 2024. godini u iznosu od 66,8 milijardi kuna.</w:t>
      </w:r>
    </w:p>
    <w:p w:rsidR="00E80063" w:rsidRDefault="00E80063" w:rsidP="00E80063">
      <w:pPr>
        <w:jc w:val="both"/>
        <w:rPr>
          <w:rFonts w:ascii="Calibri" w:hAnsi="Calibri"/>
          <w:lang w:val="hr-HR"/>
        </w:rPr>
      </w:pPr>
      <w:r>
        <w:rPr>
          <w:rFonts w:ascii="Calibri" w:hAnsi="Calibri"/>
          <w:lang w:val="hr-HR"/>
        </w:rPr>
        <w:lastRenderedPageBreak/>
        <w:t xml:space="preserve">Prihodi od posebnih poreza i trošarina u 2022. godini projicirani su u </w:t>
      </w:r>
      <w:r w:rsidRPr="00075AA2">
        <w:rPr>
          <w:rFonts w:ascii="Calibri" w:hAnsi="Calibri"/>
          <w:lang w:val="hr-HR"/>
        </w:rPr>
        <w:t>iznosu od 16,2 milijarde</w:t>
      </w:r>
      <w:r>
        <w:rPr>
          <w:rFonts w:ascii="Calibri" w:hAnsi="Calibri"/>
          <w:lang w:val="hr-HR"/>
        </w:rPr>
        <w:t xml:space="preserve"> kuna, što je rezultat očekivanog kretanja potrošnje trošarinskih proizvoda</w:t>
      </w:r>
      <w:r w:rsidR="009314D5">
        <w:rPr>
          <w:rFonts w:ascii="Calibri" w:hAnsi="Calibri"/>
          <w:lang w:val="hr-HR"/>
        </w:rPr>
        <w:t>, a uključuju i cjelogodišnji učinak izmjena propisa kod trošarina na duhan</w:t>
      </w:r>
      <w:r>
        <w:rPr>
          <w:rFonts w:ascii="Calibri" w:hAnsi="Calibri"/>
          <w:lang w:val="hr-HR"/>
        </w:rPr>
        <w:t xml:space="preserve">. U 2023. godini od ovih prihoda planira </w:t>
      </w:r>
      <w:r w:rsidRPr="00075AA2">
        <w:rPr>
          <w:rFonts w:ascii="Calibri" w:hAnsi="Calibri"/>
          <w:lang w:val="hr-HR"/>
        </w:rPr>
        <w:t>se prikupiti 16,6 milijardi kuna, a u 2024. 17,1 milijarda kuna.</w:t>
      </w:r>
    </w:p>
    <w:p w:rsidR="00105DC4" w:rsidRPr="00C16F27" w:rsidRDefault="00105DC4" w:rsidP="00105DC4">
      <w:pPr>
        <w:jc w:val="both"/>
        <w:rPr>
          <w:rFonts w:ascii="Calibri" w:hAnsi="Calibri"/>
          <w:lang w:val="hr-HR"/>
        </w:rPr>
      </w:pPr>
    </w:p>
    <w:p w:rsidR="00105DC4" w:rsidRPr="00C34746" w:rsidRDefault="00105DC4" w:rsidP="00105DC4">
      <w:pPr>
        <w:jc w:val="both"/>
        <w:rPr>
          <w:rFonts w:ascii="Calibri" w:hAnsi="Calibri"/>
          <w:b/>
          <w:i/>
          <w:sz w:val="24"/>
          <w:szCs w:val="24"/>
          <w:lang w:val="hr-HR"/>
        </w:rPr>
      </w:pPr>
      <w:r w:rsidRPr="00C34746">
        <w:rPr>
          <w:rFonts w:ascii="Calibri" w:hAnsi="Calibri"/>
          <w:b/>
          <w:i/>
          <w:sz w:val="24"/>
          <w:szCs w:val="24"/>
          <w:lang w:val="hr-HR"/>
        </w:rPr>
        <w:t xml:space="preserve">Prihodi od doprinosa </w:t>
      </w:r>
    </w:p>
    <w:p w:rsidR="00E80063" w:rsidRDefault="00E80063" w:rsidP="00E80063">
      <w:pPr>
        <w:jc w:val="both"/>
        <w:rPr>
          <w:rFonts w:ascii="Calibri" w:hAnsi="Calibri"/>
          <w:lang w:val="hr-HR"/>
        </w:rPr>
      </w:pPr>
      <w:r w:rsidRPr="003458F2">
        <w:rPr>
          <w:rFonts w:ascii="Calibri" w:hAnsi="Calibri"/>
          <w:lang w:val="hr-HR"/>
        </w:rPr>
        <w:t>Prihodi od doprinosa za mirovinsko osiguranje za nadolazeće srednjoročno razdoblje projicirani su u skladu s očekivanim kretanjima na tržištu rada</w:t>
      </w:r>
      <w:r w:rsidR="009314D5">
        <w:rPr>
          <w:rFonts w:ascii="Calibri" w:hAnsi="Calibri"/>
          <w:lang w:val="hr-HR"/>
        </w:rPr>
        <w:t xml:space="preserve"> odnosno rastom zaposlenosti i plaća</w:t>
      </w:r>
      <w:r w:rsidRPr="003458F2">
        <w:rPr>
          <w:rFonts w:ascii="Calibri" w:hAnsi="Calibri"/>
          <w:lang w:val="hr-HR"/>
        </w:rPr>
        <w:t>. Tako se ovi prihodi u 2022. projiciraju u iznosu od 26 milijardi kuna, dok se u 2023. projiciraju u iznosu od 27,1 milijardu kuna, a u 2024. godini u iznosu od 28,4 milijardi kuna.</w:t>
      </w:r>
      <w:r>
        <w:rPr>
          <w:rFonts w:ascii="Calibri" w:hAnsi="Calibri"/>
          <w:lang w:val="hr-HR"/>
        </w:rPr>
        <w:t xml:space="preserve"> </w:t>
      </w:r>
    </w:p>
    <w:p w:rsidR="00105DC4" w:rsidRDefault="00105DC4" w:rsidP="00105DC4">
      <w:pPr>
        <w:jc w:val="both"/>
        <w:rPr>
          <w:rFonts w:ascii="Calibri" w:hAnsi="Calibri"/>
          <w:lang w:val="hr-HR"/>
        </w:rPr>
      </w:pPr>
    </w:p>
    <w:p w:rsidR="00105DC4" w:rsidRPr="00C34746" w:rsidRDefault="00105DC4" w:rsidP="00105DC4">
      <w:pPr>
        <w:jc w:val="both"/>
        <w:rPr>
          <w:rFonts w:ascii="Calibri" w:hAnsi="Calibri"/>
          <w:b/>
          <w:i/>
          <w:sz w:val="24"/>
          <w:szCs w:val="24"/>
          <w:lang w:val="hr-HR"/>
        </w:rPr>
      </w:pPr>
      <w:r w:rsidRPr="00C34746">
        <w:rPr>
          <w:rFonts w:ascii="Calibri" w:hAnsi="Calibri"/>
          <w:b/>
          <w:i/>
          <w:sz w:val="24"/>
          <w:szCs w:val="24"/>
          <w:lang w:val="hr-HR"/>
        </w:rPr>
        <w:t xml:space="preserve">Prihodi od pomoći </w:t>
      </w:r>
    </w:p>
    <w:p w:rsidR="00E80063" w:rsidRDefault="00E80063" w:rsidP="00E80063">
      <w:pPr>
        <w:spacing w:before="240"/>
        <w:jc w:val="both"/>
        <w:rPr>
          <w:rFonts w:ascii="Calibri" w:hAnsi="Calibri"/>
          <w:lang w:val="hr-HR"/>
        </w:rPr>
      </w:pPr>
      <w:r>
        <w:rPr>
          <w:rFonts w:ascii="Calibri" w:hAnsi="Calibri"/>
          <w:lang w:val="hr-HR"/>
        </w:rPr>
        <w:t xml:space="preserve">Prihodi od pomoći najvećim dijelom odnose se na </w:t>
      </w:r>
      <w:r w:rsidR="00706C67">
        <w:rPr>
          <w:rFonts w:ascii="Calibri" w:hAnsi="Calibri"/>
          <w:lang w:val="hr-HR"/>
        </w:rPr>
        <w:t xml:space="preserve">prihode vezane uz projekte financirane iz </w:t>
      </w:r>
      <w:r>
        <w:rPr>
          <w:rFonts w:ascii="Calibri" w:hAnsi="Calibri"/>
          <w:lang w:val="hr-HR"/>
        </w:rPr>
        <w:t>EU</w:t>
      </w:r>
      <w:r w:rsidR="00706C67" w:rsidRPr="00706C67">
        <w:rPr>
          <w:rFonts w:ascii="Calibri" w:hAnsi="Calibri"/>
          <w:lang w:val="hr-HR"/>
        </w:rPr>
        <w:t xml:space="preserve"> proračuna, ali i uz sredstva dodijeljena RH u okviru pomoći u financiranju posljedica </w:t>
      </w:r>
      <w:proofErr w:type="spellStart"/>
      <w:r w:rsidR="00706C67" w:rsidRPr="00706C67">
        <w:rPr>
          <w:rFonts w:ascii="Calibri" w:hAnsi="Calibri"/>
          <w:lang w:val="hr-HR"/>
        </w:rPr>
        <w:t>koronavirusa</w:t>
      </w:r>
      <w:proofErr w:type="spellEnd"/>
      <w:r w:rsidR="00706C67" w:rsidRPr="00706C67">
        <w:rPr>
          <w:rFonts w:ascii="Calibri" w:hAnsi="Calibri"/>
          <w:lang w:val="hr-HR"/>
        </w:rPr>
        <w:t>, sredstva dodijeljena iz Fonda solidarnosti EU za financiranje dijela obnove javne infrastrukture oštećene u potresu te sredstva iz novog instrumenta EU Nove generacije odnosno Mehanizma za oporavak i otpornost</w:t>
      </w:r>
      <w:r w:rsidR="00706C67">
        <w:rPr>
          <w:rFonts w:ascii="Calibri" w:hAnsi="Calibri"/>
          <w:lang w:val="hr-HR"/>
        </w:rPr>
        <w:t xml:space="preserve">. </w:t>
      </w:r>
      <w:r w:rsidRPr="00EB23D0">
        <w:rPr>
          <w:rFonts w:ascii="Calibri" w:hAnsi="Calibri"/>
          <w:lang w:val="hr-HR"/>
        </w:rPr>
        <w:t xml:space="preserve">Sukladno navedenom, ukupno planirani prihodi od pomoći u 2022. iznose </w:t>
      </w:r>
      <w:r w:rsidR="00633C87">
        <w:rPr>
          <w:rFonts w:ascii="Calibri" w:hAnsi="Calibri"/>
          <w:lang w:val="hr-HR"/>
        </w:rPr>
        <w:t>28,3 milijarde</w:t>
      </w:r>
      <w:r w:rsidRPr="00EB23D0">
        <w:rPr>
          <w:rFonts w:ascii="Calibri" w:hAnsi="Calibri"/>
          <w:lang w:val="hr-HR"/>
        </w:rPr>
        <w:t xml:space="preserve"> kun</w:t>
      </w:r>
      <w:r w:rsidR="000336DF">
        <w:rPr>
          <w:rFonts w:ascii="Calibri" w:hAnsi="Calibri"/>
          <w:lang w:val="hr-HR"/>
        </w:rPr>
        <w:t>a, u 2023. godini 27,5</w:t>
      </w:r>
      <w:r w:rsidR="008C678E">
        <w:rPr>
          <w:rFonts w:ascii="Calibri" w:hAnsi="Calibri"/>
          <w:lang w:val="hr-HR"/>
        </w:rPr>
        <w:t xml:space="preserve"> milijardi kuna. U</w:t>
      </w:r>
      <w:r w:rsidRPr="00EB23D0">
        <w:rPr>
          <w:rFonts w:ascii="Calibri" w:hAnsi="Calibri"/>
          <w:lang w:val="hr-HR"/>
        </w:rPr>
        <w:t xml:space="preserve"> 2024. godini </w:t>
      </w:r>
      <w:r w:rsidR="008C678E">
        <w:rPr>
          <w:rFonts w:ascii="Calibri" w:hAnsi="Calibri"/>
          <w:lang w:val="hr-HR"/>
        </w:rPr>
        <w:t xml:space="preserve">ovi prihodi </w:t>
      </w:r>
      <w:r w:rsidR="00706C67">
        <w:rPr>
          <w:rFonts w:ascii="Calibri" w:hAnsi="Calibri"/>
          <w:lang w:val="hr-HR"/>
        </w:rPr>
        <w:t>smanjuju</w:t>
      </w:r>
      <w:r w:rsidR="008C678E">
        <w:rPr>
          <w:rFonts w:ascii="Calibri" w:hAnsi="Calibri"/>
          <w:lang w:val="hr-HR"/>
        </w:rPr>
        <w:t xml:space="preserve"> se</w:t>
      </w:r>
      <w:r w:rsidR="00706C67">
        <w:rPr>
          <w:rFonts w:ascii="Calibri" w:hAnsi="Calibri"/>
          <w:lang w:val="hr-HR"/>
        </w:rPr>
        <w:t xml:space="preserve"> na </w:t>
      </w:r>
      <w:r w:rsidRPr="00EB23D0">
        <w:rPr>
          <w:rFonts w:ascii="Calibri" w:hAnsi="Calibri"/>
          <w:lang w:val="hr-HR"/>
        </w:rPr>
        <w:t>21,</w:t>
      </w:r>
      <w:r w:rsidR="000336DF">
        <w:rPr>
          <w:rFonts w:ascii="Calibri" w:hAnsi="Calibri"/>
          <w:lang w:val="hr-HR"/>
        </w:rPr>
        <w:t>2</w:t>
      </w:r>
      <w:r w:rsidRPr="00EB23D0">
        <w:rPr>
          <w:rFonts w:ascii="Calibri" w:hAnsi="Calibri"/>
          <w:lang w:val="hr-HR"/>
        </w:rPr>
        <w:t xml:space="preserve"> milijard</w:t>
      </w:r>
      <w:r w:rsidR="000336DF">
        <w:rPr>
          <w:rFonts w:ascii="Calibri" w:hAnsi="Calibri"/>
          <w:lang w:val="hr-HR"/>
        </w:rPr>
        <w:t>e</w:t>
      </w:r>
      <w:r w:rsidRPr="00EB23D0">
        <w:rPr>
          <w:rFonts w:ascii="Calibri" w:hAnsi="Calibri"/>
          <w:lang w:val="hr-HR"/>
        </w:rPr>
        <w:t xml:space="preserve"> kuna</w:t>
      </w:r>
      <w:r w:rsidR="00706C67">
        <w:rPr>
          <w:rFonts w:ascii="Calibri" w:hAnsi="Calibri"/>
          <w:lang w:val="hr-HR"/>
        </w:rPr>
        <w:t xml:space="preserve">, </w:t>
      </w:r>
      <w:r w:rsidR="004E4219">
        <w:rPr>
          <w:rFonts w:ascii="Calibri" w:hAnsi="Calibri"/>
          <w:lang w:val="hr-HR"/>
        </w:rPr>
        <w:t xml:space="preserve">budući da </w:t>
      </w:r>
      <w:r w:rsidR="004918D7">
        <w:rPr>
          <w:rFonts w:ascii="Calibri" w:hAnsi="Calibri"/>
          <w:lang w:val="hr-HR"/>
        </w:rPr>
        <w:t>krajem 2023. godine</w:t>
      </w:r>
      <w:r w:rsidR="00706C67">
        <w:rPr>
          <w:rFonts w:ascii="Calibri" w:hAnsi="Calibri"/>
          <w:lang w:val="hr-HR"/>
        </w:rPr>
        <w:t xml:space="preserve"> završava </w:t>
      </w:r>
      <w:r w:rsidR="004918D7">
        <w:rPr>
          <w:rFonts w:ascii="Calibri" w:hAnsi="Calibri"/>
          <w:lang w:val="hr-HR"/>
        </w:rPr>
        <w:t xml:space="preserve">rok za </w:t>
      </w:r>
      <w:r w:rsidR="00706C67">
        <w:rPr>
          <w:rFonts w:ascii="Calibri" w:hAnsi="Calibri"/>
          <w:lang w:val="hr-HR"/>
        </w:rPr>
        <w:t xml:space="preserve">korištenje sredstava </w:t>
      </w:r>
      <w:r w:rsidR="004918D7">
        <w:rPr>
          <w:rFonts w:ascii="Calibri" w:hAnsi="Calibri"/>
          <w:lang w:val="hr-HR"/>
        </w:rPr>
        <w:t>iz Višegodišnjeg financijskog okvira</w:t>
      </w:r>
      <w:r w:rsidR="00706C67">
        <w:rPr>
          <w:rFonts w:ascii="Calibri" w:hAnsi="Calibri"/>
          <w:lang w:val="hr-HR"/>
        </w:rPr>
        <w:t xml:space="preserve"> 2014. – 2020.</w:t>
      </w:r>
    </w:p>
    <w:p w:rsidR="00105DC4" w:rsidRDefault="00105DC4" w:rsidP="00105DC4">
      <w:pPr>
        <w:jc w:val="both"/>
        <w:rPr>
          <w:rFonts w:ascii="Calibri" w:hAnsi="Calibri"/>
          <w:lang w:val="hr-HR"/>
        </w:rPr>
      </w:pPr>
    </w:p>
    <w:p w:rsidR="00105DC4" w:rsidRDefault="00105DC4" w:rsidP="00105DC4">
      <w:pPr>
        <w:jc w:val="both"/>
        <w:rPr>
          <w:rFonts w:ascii="Calibri" w:hAnsi="Calibri"/>
          <w:b/>
          <w:i/>
          <w:sz w:val="24"/>
          <w:szCs w:val="24"/>
          <w:lang w:val="hr-HR"/>
        </w:rPr>
      </w:pPr>
      <w:r w:rsidRPr="00C34746">
        <w:rPr>
          <w:rFonts w:ascii="Calibri" w:hAnsi="Calibri"/>
          <w:b/>
          <w:i/>
          <w:sz w:val="24"/>
          <w:szCs w:val="24"/>
          <w:lang w:val="hr-HR"/>
        </w:rPr>
        <w:t>Ostali prihodi</w:t>
      </w:r>
    </w:p>
    <w:p w:rsidR="00E80063" w:rsidRDefault="00E80063" w:rsidP="00E80063">
      <w:pPr>
        <w:jc w:val="both"/>
        <w:rPr>
          <w:rFonts w:ascii="Calibri" w:hAnsi="Calibri"/>
          <w:lang w:val="hr-HR"/>
        </w:rPr>
      </w:pPr>
      <w:r>
        <w:rPr>
          <w:rFonts w:ascii="Calibri" w:hAnsi="Calibri"/>
          <w:lang w:val="hr-HR"/>
        </w:rPr>
        <w:t xml:space="preserve">Od ostalih proračunskih prihoda, koji u pravilu nisu u direktnoj vezi s kretanjima gospodarske aktivnosti, valja izdvojiti prihode od imovine, koji će u najvećoj mjeri ovisiti o ostvarenim prihodima </w:t>
      </w:r>
      <w:r w:rsidRPr="0024193C">
        <w:rPr>
          <w:rFonts w:ascii="Calibri" w:hAnsi="Calibri"/>
          <w:lang w:val="hr-HR"/>
        </w:rPr>
        <w:t xml:space="preserve">po osnovi uplate dividende i dobiti trgovačkih društava, kreditnih i ostalih financijskih institucija u vlasništvu države, kao i prihodima od koncesija. Očekuje se da će u razdoblju </w:t>
      </w:r>
      <w:r w:rsidR="0009134E">
        <w:rPr>
          <w:rFonts w:ascii="Calibri" w:hAnsi="Calibri"/>
          <w:lang w:val="hr-HR"/>
        </w:rPr>
        <w:t>2022.-</w:t>
      </w:r>
      <w:r w:rsidRPr="0024193C">
        <w:rPr>
          <w:rFonts w:ascii="Calibri" w:hAnsi="Calibri"/>
          <w:lang w:val="hr-HR"/>
        </w:rPr>
        <w:t xml:space="preserve"> 2024. ovi prihodi </w:t>
      </w:r>
      <w:r w:rsidR="005728C4">
        <w:rPr>
          <w:rFonts w:ascii="Calibri" w:hAnsi="Calibri"/>
          <w:lang w:val="hr-HR"/>
        </w:rPr>
        <w:t xml:space="preserve">u prosjeku </w:t>
      </w:r>
      <w:r w:rsidRPr="0024193C">
        <w:rPr>
          <w:rFonts w:ascii="Calibri" w:hAnsi="Calibri"/>
          <w:lang w:val="hr-HR"/>
        </w:rPr>
        <w:t>iznositi 2,1 milijard</w:t>
      </w:r>
      <w:r w:rsidR="0009134E">
        <w:rPr>
          <w:rFonts w:ascii="Calibri" w:hAnsi="Calibri"/>
          <w:lang w:val="hr-HR"/>
        </w:rPr>
        <w:t>u</w:t>
      </w:r>
      <w:r w:rsidRPr="0024193C">
        <w:rPr>
          <w:rFonts w:ascii="Calibri" w:hAnsi="Calibri"/>
          <w:lang w:val="hr-HR"/>
        </w:rPr>
        <w:t xml:space="preserve"> kuna.</w:t>
      </w:r>
    </w:p>
    <w:p w:rsidR="00E80063" w:rsidRDefault="005728C4" w:rsidP="00E80063">
      <w:pPr>
        <w:jc w:val="both"/>
        <w:rPr>
          <w:rFonts w:ascii="Calibri" w:hAnsi="Calibri"/>
          <w:lang w:val="hr-HR"/>
        </w:rPr>
      </w:pPr>
      <w:r>
        <w:rPr>
          <w:rFonts w:ascii="Calibri" w:hAnsi="Calibri"/>
          <w:lang w:val="hr-HR"/>
        </w:rPr>
        <w:t>Nadalje,</w:t>
      </w:r>
      <w:r w:rsidR="00E80063">
        <w:rPr>
          <w:rFonts w:ascii="Calibri" w:hAnsi="Calibri"/>
          <w:lang w:val="hr-HR"/>
        </w:rPr>
        <w:t xml:space="preserve"> prihodi po posebnim propisima, prihodi od administrativnih pristojbi, prihodi od vlastite djelatnosti proračunskih korisnika te prihodi od kazni i upravnih mjera </w:t>
      </w:r>
      <w:r>
        <w:rPr>
          <w:rFonts w:ascii="Calibri" w:hAnsi="Calibri"/>
          <w:lang w:val="hr-HR"/>
        </w:rPr>
        <w:t xml:space="preserve">trebali bi </w:t>
      </w:r>
      <w:r w:rsidR="00E80063">
        <w:rPr>
          <w:rFonts w:ascii="Calibri" w:hAnsi="Calibri"/>
          <w:lang w:val="hr-HR"/>
        </w:rPr>
        <w:t xml:space="preserve">slijediti trendove dosadašnjih kretanja i u narednom razdoblju. Također, u skladu s kretanjem </w:t>
      </w:r>
      <w:r>
        <w:rPr>
          <w:rFonts w:ascii="Calibri" w:hAnsi="Calibri"/>
          <w:lang w:val="hr-HR"/>
        </w:rPr>
        <w:t xml:space="preserve">prihoda od </w:t>
      </w:r>
      <w:r w:rsidR="00E80063">
        <w:rPr>
          <w:rFonts w:ascii="Calibri" w:hAnsi="Calibri"/>
          <w:lang w:val="hr-HR"/>
        </w:rPr>
        <w:t xml:space="preserve">doprinosa za zdravstveno osiguranje, očekuje se povećanje prihoda iz nadležnog proračuna i od Hrvatskog zavoda za zdravstveno osiguranje temeljem ugovornih obveza, a koji se odnose na ustanove u zdravstvu u državnom vlasništvu. </w:t>
      </w:r>
    </w:p>
    <w:p w:rsidR="00E80063" w:rsidRDefault="00E80063" w:rsidP="00E80063">
      <w:pPr>
        <w:jc w:val="both"/>
        <w:rPr>
          <w:rFonts w:ascii="Calibri" w:hAnsi="Calibri"/>
          <w:lang w:val="hr-HR"/>
        </w:rPr>
      </w:pPr>
      <w:r>
        <w:rPr>
          <w:rFonts w:ascii="Calibri" w:hAnsi="Calibri"/>
          <w:lang w:val="hr-HR"/>
        </w:rPr>
        <w:t>Prihodi od prodaje nefinancijske imovine u 2022. godini planiraju se u iz</w:t>
      </w:r>
      <w:r w:rsidRPr="000F679B">
        <w:rPr>
          <w:rFonts w:ascii="Calibri" w:hAnsi="Calibri"/>
          <w:lang w:val="hr-HR"/>
        </w:rPr>
        <w:t xml:space="preserve">nosu od 831 milijun kuna, a najveći dio ovih prihoda ostvarit će se prodajom stanova i ostalih građevinskih objekata u vlasništvu države. U 2023. </w:t>
      </w:r>
      <w:r w:rsidR="005728C4">
        <w:rPr>
          <w:rFonts w:ascii="Calibri" w:hAnsi="Calibri"/>
          <w:lang w:val="hr-HR"/>
        </w:rPr>
        <w:t>ovi prihodi</w:t>
      </w:r>
      <w:r w:rsidRPr="000F679B">
        <w:rPr>
          <w:rFonts w:ascii="Calibri" w:hAnsi="Calibri"/>
          <w:lang w:val="hr-HR"/>
        </w:rPr>
        <w:t xml:space="preserve"> projiciraju se u iznosu od 734,8 milijuna kuna, a </w:t>
      </w:r>
      <w:r w:rsidR="005728C4">
        <w:rPr>
          <w:rFonts w:ascii="Calibri" w:hAnsi="Calibri"/>
          <w:lang w:val="hr-HR"/>
        </w:rPr>
        <w:t>u</w:t>
      </w:r>
      <w:r w:rsidRPr="000F679B">
        <w:rPr>
          <w:rFonts w:ascii="Calibri" w:hAnsi="Calibri"/>
          <w:lang w:val="hr-HR"/>
        </w:rPr>
        <w:t xml:space="preserve"> 2024. godin</w:t>
      </w:r>
      <w:r w:rsidR="005728C4">
        <w:rPr>
          <w:rFonts w:ascii="Calibri" w:hAnsi="Calibri"/>
          <w:lang w:val="hr-HR"/>
        </w:rPr>
        <w:t xml:space="preserve">i </w:t>
      </w:r>
      <w:r w:rsidRPr="000F679B">
        <w:rPr>
          <w:rFonts w:ascii="Calibri" w:hAnsi="Calibri"/>
          <w:lang w:val="hr-HR"/>
        </w:rPr>
        <w:t xml:space="preserve">u iznosu od </w:t>
      </w:r>
      <w:r w:rsidR="000336DF">
        <w:rPr>
          <w:rFonts w:ascii="Calibri" w:hAnsi="Calibri"/>
          <w:lang w:val="hr-HR"/>
        </w:rPr>
        <w:t>679,5</w:t>
      </w:r>
      <w:r w:rsidRPr="000F679B">
        <w:rPr>
          <w:rFonts w:ascii="Calibri" w:hAnsi="Calibri"/>
          <w:lang w:val="hr-HR"/>
        </w:rPr>
        <w:t xml:space="preserve"> milijuna kuna.</w:t>
      </w:r>
    </w:p>
    <w:p w:rsidR="00105DC4" w:rsidRDefault="00105DC4" w:rsidP="00105DC4">
      <w:pPr>
        <w:pStyle w:val="Opisslike"/>
        <w:ind w:left="0"/>
        <w:jc w:val="left"/>
        <w:rPr>
          <w:rFonts w:ascii="Calibri" w:hAnsi="Calibri"/>
          <w:b w:val="0"/>
          <w:i/>
          <w:sz w:val="24"/>
          <w:szCs w:val="24"/>
          <w:lang w:val="hr-HR"/>
        </w:rPr>
      </w:pPr>
      <w:bookmarkStart w:id="13" w:name="_Toc78394994"/>
      <w:r>
        <w:rPr>
          <w:rFonts w:ascii="Calibri" w:hAnsi="Calibri"/>
          <w:b w:val="0"/>
          <w:i/>
          <w:sz w:val="24"/>
          <w:szCs w:val="24"/>
          <w:lang w:val="hr-HR"/>
        </w:rPr>
        <w:lastRenderedPageBreak/>
        <w:t xml:space="preserve">Tablica </w:t>
      </w:r>
      <w:r>
        <w:fldChar w:fldCharType="begin"/>
      </w:r>
      <w:r>
        <w:rPr>
          <w:rFonts w:ascii="Calibri" w:hAnsi="Calibri"/>
          <w:b w:val="0"/>
          <w:i/>
          <w:sz w:val="24"/>
          <w:szCs w:val="24"/>
          <w:lang w:val="hr-HR"/>
        </w:rPr>
        <w:instrText xml:space="preserve"> SEQ Tablica \* ARABIC </w:instrText>
      </w:r>
      <w:r>
        <w:fldChar w:fldCharType="separate"/>
      </w:r>
      <w:r w:rsidR="00F17D56">
        <w:rPr>
          <w:rFonts w:ascii="Calibri" w:hAnsi="Calibri"/>
          <w:b w:val="0"/>
          <w:i/>
          <w:noProof/>
          <w:sz w:val="24"/>
          <w:szCs w:val="24"/>
          <w:lang w:val="hr-HR"/>
        </w:rPr>
        <w:t>2</w:t>
      </w:r>
      <w:r>
        <w:fldChar w:fldCharType="end"/>
      </w:r>
      <w:r>
        <w:rPr>
          <w:rFonts w:ascii="Calibri" w:hAnsi="Calibri"/>
          <w:b w:val="0"/>
          <w:i/>
          <w:sz w:val="24"/>
          <w:szCs w:val="24"/>
          <w:lang w:val="hr-HR"/>
        </w:rPr>
        <w:t>: Kretanje prihoda drž</w:t>
      </w:r>
      <w:r w:rsidR="00574FD0">
        <w:rPr>
          <w:rFonts w:ascii="Calibri" w:hAnsi="Calibri"/>
          <w:b w:val="0"/>
          <w:i/>
          <w:sz w:val="24"/>
          <w:szCs w:val="24"/>
          <w:lang w:val="hr-HR"/>
        </w:rPr>
        <w:t>avnog proračuna u razdoblju 2020. – 2024</w:t>
      </w:r>
      <w:r>
        <w:rPr>
          <w:rFonts w:ascii="Calibri" w:hAnsi="Calibri"/>
          <w:b w:val="0"/>
          <w:i/>
          <w:sz w:val="24"/>
          <w:szCs w:val="24"/>
          <w:lang w:val="hr-HR"/>
        </w:rPr>
        <w:t>.</w:t>
      </w:r>
      <w:bookmarkEnd w:id="13"/>
    </w:p>
    <w:p w:rsidR="00105DC4" w:rsidRDefault="00DA3DCC" w:rsidP="00105DC4">
      <w:pPr>
        <w:spacing w:after="0"/>
        <w:rPr>
          <w:lang w:val="hr-HR"/>
        </w:rPr>
      </w:pPr>
      <w:r w:rsidRPr="00DA3DCC">
        <w:rPr>
          <w:noProof/>
          <w:lang w:val="hr-HR" w:eastAsia="hr-HR"/>
        </w:rPr>
        <w:drawing>
          <wp:inline distT="0" distB="0" distL="0" distR="0">
            <wp:extent cx="5995005" cy="2921000"/>
            <wp:effectExtent l="0" t="0" r="635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8681" cy="2922791"/>
                    </a:xfrm>
                    <a:prstGeom prst="rect">
                      <a:avLst/>
                    </a:prstGeom>
                    <a:noFill/>
                    <a:ln>
                      <a:noFill/>
                    </a:ln>
                  </pic:spPr>
                </pic:pic>
              </a:graphicData>
            </a:graphic>
          </wp:inline>
        </w:drawing>
      </w:r>
    </w:p>
    <w:p w:rsidR="00105DC4" w:rsidRDefault="00105DC4" w:rsidP="00105DC4">
      <w:pPr>
        <w:spacing w:after="120"/>
        <w:rPr>
          <w:rFonts w:ascii="Calibri" w:hAnsi="Calibri"/>
          <w:i/>
          <w:sz w:val="20"/>
          <w:szCs w:val="20"/>
          <w:lang w:val="hr-HR"/>
        </w:rPr>
      </w:pPr>
      <w:r>
        <w:rPr>
          <w:rFonts w:ascii="Calibri" w:hAnsi="Calibri"/>
          <w:i/>
          <w:sz w:val="20"/>
          <w:szCs w:val="20"/>
          <w:lang w:val="hr-HR"/>
        </w:rPr>
        <w:t>Izvor: Ministarstvo financija</w:t>
      </w:r>
    </w:p>
    <w:bookmarkEnd w:id="12"/>
    <w:p w:rsidR="00DA1CED" w:rsidRPr="00861A1A" w:rsidRDefault="00DA1CED" w:rsidP="00E52BDF">
      <w:pPr>
        <w:spacing w:after="120"/>
        <w:rPr>
          <w:rStyle w:val="Istaknuto"/>
          <w:rFonts w:ascii="Calibri" w:hAnsi="Calibri"/>
          <w:b/>
          <w:highlight w:val="yellow"/>
          <w:lang w:val="hr-HR"/>
        </w:rPr>
      </w:pPr>
    </w:p>
    <w:p w:rsidR="00E52BDF" w:rsidRPr="00F22D55" w:rsidRDefault="00E52BDF" w:rsidP="00CB1B9D">
      <w:pPr>
        <w:pStyle w:val="Naslov2"/>
        <w:numPr>
          <w:ilvl w:val="1"/>
          <w:numId w:val="1"/>
        </w:numPr>
        <w:rPr>
          <w:lang w:val="hr-HR"/>
        </w:rPr>
      </w:pPr>
      <w:bookmarkStart w:id="14" w:name="_Toc487786373"/>
      <w:bookmarkStart w:id="15" w:name="_Toc78395757"/>
      <w:r w:rsidRPr="00F22D55">
        <w:rPr>
          <w:lang w:val="hr-HR"/>
        </w:rPr>
        <w:t xml:space="preserve">Kretanje rashoda </w:t>
      </w:r>
      <w:r w:rsidR="00CB1B9D" w:rsidRPr="00F22D55">
        <w:rPr>
          <w:lang w:val="hr-HR"/>
        </w:rPr>
        <w:t xml:space="preserve">državnog proračuna </w:t>
      </w:r>
      <w:r w:rsidR="00590D18" w:rsidRPr="00F22D55">
        <w:rPr>
          <w:lang w:val="hr-HR"/>
        </w:rPr>
        <w:t>u razdoblju 20</w:t>
      </w:r>
      <w:r w:rsidR="00F35025" w:rsidRPr="00F22D55">
        <w:rPr>
          <w:lang w:val="hr-HR"/>
        </w:rPr>
        <w:t>2</w:t>
      </w:r>
      <w:r w:rsidR="00416D9B" w:rsidRPr="00F22D55">
        <w:rPr>
          <w:lang w:val="hr-HR"/>
        </w:rPr>
        <w:t>2</w:t>
      </w:r>
      <w:r w:rsidR="00590D18" w:rsidRPr="00F22D55">
        <w:rPr>
          <w:lang w:val="hr-HR"/>
        </w:rPr>
        <w:t>. – 202</w:t>
      </w:r>
      <w:r w:rsidR="00416D9B" w:rsidRPr="00F22D55">
        <w:rPr>
          <w:lang w:val="hr-HR"/>
        </w:rPr>
        <w:t>4</w:t>
      </w:r>
      <w:r w:rsidRPr="00F22D55">
        <w:rPr>
          <w:lang w:val="hr-HR"/>
        </w:rPr>
        <w:t>.</w:t>
      </w:r>
      <w:bookmarkEnd w:id="14"/>
      <w:bookmarkEnd w:id="15"/>
      <w:r w:rsidRPr="00F22D55">
        <w:rPr>
          <w:lang w:val="hr-HR"/>
        </w:rPr>
        <w:t xml:space="preserve">       </w:t>
      </w:r>
    </w:p>
    <w:p w:rsidR="00E52BDF" w:rsidRPr="00416D9B" w:rsidRDefault="00E52BDF" w:rsidP="00E52BDF">
      <w:pPr>
        <w:rPr>
          <w:sz w:val="16"/>
          <w:szCs w:val="16"/>
          <w:highlight w:val="yellow"/>
          <w:lang w:val="hr-HR"/>
        </w:rPr>
      </w:pPr>
    </w:p>
    <w:p w:rsidR="00F22D55" w:rsidRPr="00C34746" w:rsidRDefault="00F22D55" w:rsidP="00F22D55">
      <w:pPr>
        <w:jc w:val="both"/>
        <w:rPr>
          <w:rFonts w:ascii="Calibri" w:hAnsi="Calibri"/>
          <w:lang w:val="hr-HR"/>
        </w:rPr>
      </w:pPr>
      <w:bookmarkStart w:id="16" w:name="_Toc487786374"/>
      <w:r>
        <w:rPr>
          <w:rFonts w:ascii="Calibri" w:hAnsi="Calibri"/>
          <w:lang w:val="hr-HR"/>
        </w:rPr>
        <w:t>U 2022</w:t>
      </w:r>
      <w:r w:rsidRPr="00C34746">
        <w:rPr>
          <w:rFonts w:ascii="Calibri" w:hAnsi="Calibri"/>
          <w:lang w:val="hr-HR"/>
        </w:rPr>
        <w:t xml:space="preserve">. godini ukupni rashodi državnog proračuna projicirani su u iznosu od </w:t>
      </w:r>
      <w:r>
        <w:rPr>
          <w:rFonts w:ascii="Calibri" w:hAnsi="Calibri"/>
          <w:lang w:val="hr-HR"/>
        </w:rPr>
        <w:t>164,8</w:t>
      </w:r>
      <w:r w:rsidRPr="00C34746">
        <w:rPr>
          <w:rFonts w:ascii="Calibri" w:hAnsi="Calibri"/>
          <w:lang w:val="hr-HR"/>
        </w:rPr>
        <w:t xml:space="preserve"> milijardi kuna. Rashodi koji se financiraju iz općih prihoda i primitaka, doprinosa i namjenskih primitaka planiraju se na razini od </w:t>
      </w:r>
      <w:r>
        <w:rPr>
          <w:rFonts w:ascii="Calibri" w:hAnsi="Calibri"/>
          <w:lang w:val="hr-HR"/>
        </w:rPr>
        <w:t>122,3</w:t>
      </w:r>
      <w:r w:rsidRPr="00C34746">
        <w:rPr>
          <w:rFonts w:ascii="Calibri" w:hAnsi="Calibri"/>
          <w:lang w:val="hr-HR"/>
        </w:rPr>
        <w:t xml:space="preserve"> milijarde kuna i </w:t>
      </w:r>
      <w:r>
        <w:rPr>
          <w:rFonts w:ascii="Calibri" w:hAnsi="Calibri"/>
          <w:lang w:val="hr-HR"/>
        </w:rPr>
        <w:t>smanjuju</w:t>
      </w:r>
      <w:r w:rsidRPr="00C34746">
        <w:rPr>
          <w:rFonts w:ascii="Calibri" w:hAnsi="Calibri"/>
          <w:lang w:val="hr-HR"/>
        </w:rPr>
        <w:t xml:space="preserve"> se za 3,3 milijarde k</w:t>
      </w:r>
      <w:r>
        <w:rPr>
          <w:rFonts w:ascii="Calibri" w:hAnsi="Calibri"/>
          <w:lang w:val="hr-HR"/>
        </w:rPr>
        <w:t xml:space="preserve">una u odnosu na tekući plan 2021. godine. Navedeno je rezultat smanjenih izdvajanja za </w:t>
      </w:r>
      <w:r w:rsidRPr="00165518">
        <w:rPr>
          <w:rFonts w:ascii="Calibri" w:hAnsi="Calibri"/>
          <w:lang w:val="hr-HR"/>
        </w:rPr>
        <w:t>pokriće dugova zdravstvenog sustava u iznosu od 4,7 milijardi kuna</w:t>
      </w:r>
      <w:r>
        <w:rPr>
          <w:rFonts w:ascii="Calibri" w:hAnsi="Calibri"/>
          <w:lang w:val="hr-HR"/>
        </w:rPr>
        <w:t xml:space="preserve"> i </w:t>
      </w:r>
      <w:r w:rsidRPr="00165518">
        <w:rPr>
          <w:rFonts w:ascii="Calibri" w:hAnsi="Calibri"/>
          <w:lang w:val="hr-HR"/>
        </w:rPr>
        <w:t xml:space="preserve">suzbijanje epidemije </w:t>
      </w:r>
      <w:proofErr w:type="spellStart"/>
      <w:r w:rsidRPr="00165518">
        <w:rPr>
          <w:rFonts w:ascii="Calibri" w:hAnsi="Calibri"/>
          <w:lang w:val="hr-HR"/>
        </w:rPr>
        <w:t>koronavirusa</w:t>
      </w:r>
      <w:proofErr w:type="spellEnd"/>
      <w:r w:rsidRPr="00165518">
        <w:rPr>
          <w:rFonts w:ascii="Calibri" w:hAnsi="Calibri"/>
          <w:lang w:val="hr-HR"/>
        </w:rPr>
        <w:t xml:space="preserve"> u iznosu od 2,9 milijardi kuna</w:t>
      </w:r>
      <w:r>
        <w:rPr>
          <w:rFonts w:ascii="Calibri" w:hAnsi="Calibri"/>
          <w:lang w:val="hr-HR"/>
        </w:rPr>
        <w:t xml:space="preserve">, uz istovremeno povećanje izdvajanja za </w:t>
      </w:r>
      <w:r w:rsidRPr="00165518">
        <w:rPr>
          <w:rFonts w:ascii="Calibri" w:hAnsi="Calibri"/>
          <w:lang w:val="hr-HR"/>
        </w:rPr>
        <w:t>sanaciju štete na potresom pogođenim</w:t>
      </w:r>
      <w:r>
        <w:rPr>
          <w:rFonts w:ascii="Calibri" w:hAnsi="Calibri"/>
          <w:lang w:val="hr-HR"/>
        </w:rPr>
        <w:t xml:space="preserve"> područjima, </w:t>
      </w:r>
      <w:r w:rsidRPr="00165518">
        <w:rPr>
          <w:rFonts w:ascii="Calibri" w:hAnsi="Calibri"/>
          <w:lang w:val="hr-HR"/>
        </w:rPr>
        <w:t>rashode za zaposlene</w:t>
      </w:r>
      <w:r>
        <w:rPr>
          <w:rFonts w:ascii="Calibri" w:hAnsi="Calibri"/>
          <w:lang w:val="hr-HR"/>
        </w:rPr>
        <w:t xml:space="preserve">, </w:t>
      </w:r>
      <w:r w:rsidRPr="00165518">
        <w:rPr>
          <w:rFonts w:ascii="Calibri" w:hAnsi="Calibri"/>
          <w:lang w:val="hr-HR"/>
        </w:rPr>
        <w:t>mirovine</w:t>
      </w:r>
      <w:r>
        <w:rPr>
          <w:rFonts w:ascii="Calibri" w:hAnsi="Calibri"/>
          <w:lang w:val="hr-HR"/>
        </w:rPr>
        <w:t>, isplate razlike uvećanja plaće za prekovremeni rad u sustavu zdravstva te provedbu novog zakona o socijalnoj skrbi. R</w:t>
      </w:r>
      <w:r w:rsidRPr="00C34746">
        <w:rPr>
          <w:rFonts w:ascii="Calibri" w:hAnsi="Calibri"/>
          <w:lang w:val="hr-HR"/>
        </w:rPr>
        <w:t xml:space="preserve">ashodi koji se financiraju iz ostalih izvora </w:t>
      </w:r>
      <w:r w:rsidRPr="00E26386">
        <w:rPr>
          <w:rFonts w:ascii="Calibri" w:hAnsi="Calibri"/>
          <w:lang w:val="hr-HR"/>
        </w:rPr>
        <w:t xml:space="preserve">financiranja, a koji ne utječu na razinu manjka državnog proračuna, planiraju se na razini od </w:t>
      </w:r>
      <w:r>
        <w:rPr>
          <w:rFonts w:ascii="Calibri" w:hAnsi="Calibri"/>
          <w:lang w:val="hr-HR"/>
        </w:rPr>
        <w:t>42,5</w:t>
      </w:r>
      <w:r w:rsidRPr="00C34746">
        <w:rPr>
          <w:rFonts w:ascii="Calibri" w:hAnsi="Calibri"/>
          <w:lang w:val="hr-HR"/>
        </w:rPr>
        <w:t xml:space="preserve"> milijard</w:t>
      </w:r>
      <w:r>
        <w:rPr>
          <w:rFonts w:ascii="Calibri" w:hAnsi="Calibri"/>
          <w:lang w:val="hr-HR"/>
        </w:rPr>
        <w:t>i</w:t>
      </w:r>
      <w:r w:rsidRPr="00C34746">
        <w:rPr>
          <w:rFonts w:ascii="Calibri" w:hAnsi="Calibri"/>
          <w:lang w:val="hr-HR"/>
        </w:rPr>
        <w:t xml:space="preserve"> kuna i povećavaju se za </w:t>
      </w:r>
      <w:r>
        <w:rPr>
          <w:rFonts w:ascii="Calibri" w:hAnsi="Calibri"/>
          <w:lang w:val="hr-HR"/>
        </w:rPr>
        <w:t xml:space="preserve">0,7 </w:t>
      </w:r>
      <w:r w:rsidRPr="00C34746">
        <w:rPr>
          <w:rFonts w:ascii="Calibri" w:hAnsi="Calibri"/>
          <w:lang w:val="hr-HR"/>
        </w:rPr>
        <w:t>milijard</w:t>
      </w:r>
      <w:r>
        <w:rPr>
          <w:rFonts w:ascii="Calibri" w:hAnsi="Calibri"/>
          <w:lang w:val="hr-HR"/>
        </w:rPr>
        <w:t>i</w:t>
      </w:r>
      <w:r w:rsidRPr="00C34746">
        <w:rPr>
          <w:rFonts w:ascii="Calibri" w:hAnsi="Calibri"/>
          <w:lang w:val="hr-HR"/>
        </w:rPr>
        <w:t xml:space="preserve"> kuna u odnosu na tekući plan 202</w:t>
      </w:r>
      <w:r>
        <w:rPr>
          <w:rFonts w:ascii="Calibri" w:hAnsi="Calibri"/>
          <w:lang w:val="hr-HR"/>
        </w:rPr>
        <w:t>1</w:t>
      </w:r>
      <w:r w:rsidRPr="00C34746">
        <w:rPr>
          <w:rFonts w:ascii="Calibri" w:hAnsi="Calibri"/>
          <w:lang w:val="hr-HR"/>
        </w:rPr>
        <w:t xml:space="preserve">. godine. </w:t>
      </w:r>
    </w:p>
    <w:p w:rsidR="00F22D55" w:rsidRDefault="00F22D55" w:rsidP="00F22D55">
      <w:pPr>
        <w:jc w:val="both"/>
        <w:rPr>
          <w:rFonts w:ascii="Calibri" w:hAnsi="Calibri"/>
          <w:lang w:val="hr-HR"/>
        </w:rPr>
      </w:pPr>
      <w:r w:rsidRPr="00C34746">
        <w:rPr>
          <w:rFonts w:ascii="Calibri" w:hAnsi="Calibri"/>
          <w:lang w:val="hr-HR"/>
        </w:rPr>
        <w:t>U 202</w:t>
      </w:r>
      <w:r>
        <w:rPr>
          <w:rFonts w:ascii="Calibri" w:hAnsi="Calibri"/>
          <w:lang w:val="hr-HR"/>
        </w:rPr>
        <w:t>3</w:t>
      </w:r>
      <w:r w:rsidRPr="00C34746">
        <w:rPr>
          <w:rFonts w:ascii="Calibri" w:hAnsi="Calibri"/>
          <w:lang w:val="hr-HR"/>
        </w:rPr>
        <w:t xml:space="preserve">. godini ukupni rashodi planiraju se na razini od </w:t>
      </w:r>
      <w:r>
        <w:rPr>
          <w:rFonts w:ascii="Calibri" w:hAnsi="Calibri"/>
          <w:lang w:val="hr-HR"/>
        </w:rPr>
        <w:t>165,6</w:t>
      </w:r>
      <w:r w:rsidRPr="00C34746">
        <w:rPr>
          <w:rFonts w:ascii="Calibri" w:hAnsi="Calibri"/>
          <w:lang w:val="hr-HR"/>
        </w:rPr>
        <w:t xml:space="preserve"> milijard</w:t>
      </w:r>
      <w:r>
        <w:rPr>
          <w:rFonts w:ascii="Calibri" w:hAnsi="Calibri"/>
          <w:lang w:val="hr-HR"/>
        </w:rPr>
        <w:t>i</w:t>
      </w:r>
      <w:r w:rsidRPr="00C34746">
        <w:rPr>
          <w:rFonts w:ascii="Calibri" w:hAnsi="Calibri"/>
          <w:lang w:val="hr-HR"/>
        </w:rPr>
        <w:t xml:space="preserve"> kuna i povećani su za </w:t>
      </w:r>
      <w:r>
        <w:rPr>
          <w:rFonts w:ascii="Calibri" w:hAnsi="Calibri"/>
          <w:lang w:val="hr-HR"/>
        </w:rPr>
        <w:t>0,8</w:t>
      </w:r>
      <w:r w:rsidRPr="00C34746">
        <w:rPr>
          <w:rFonts w:ascii="Calibri" w:hAnsi="Calibri"/>
          <w:lang w:val="hr-HR"/>
        </w:rPr>
        <w:t xml:space="preserve"> milijardi kuna u odnosu na 202</w:t>
      </w:r>
      <w:r>
        <w:rPr>
          <w:rFonts w:ascii="Calibri" w:hAnsi="Calibri"/>
          <w:lang w:val="hr-HR"/>
        </w:rPr>
        <w:t>2</w:t>
      </w:r>
      <w:r w:rsidRPr="00C34746">
        <w:rPr>
          <w:rFonts w:ascii="Calibri" w:hAnsi="Calibri"/>
          <w:lang w:val="hr-HR"/>
        </w:rPr>
        <w:t xml:space="preserve">. </w:t>
      </w:r>
      <w:r>
        <w:rPr>
          <w:rFonts w:ascii="Calibri" w:hAnsi="Calibri"/>
          <w:lang w:val="hr-HR"/>
        </w:rPr>
        <w:t>godinu. R</w:t>
      </w:r>
      <w:r w:rsidRPr="00C34746">
        <w:rPr>
          <w:rFonts w:ascii="Calibri" w:hAnsi="Calibri"/>
          <w:lang w:val="hr-HR"/>
        </w:rPr>
        <w:t>ashodi financirani iz općih prihoda i primitaka, doprinosa i n</w:t>
      </w:r>
      <w:r>
        <w:rPr>
          <w:rFonts w:ascii="Calibri" w:hAnsi="Calibri"/>
          <w:lang w:val="hr-HR"/>
        </w:rPr>
        <w:t>amjenskih primitaka rastu za 1,6</w:t>
      </w:r>
      <w:r w:rsidRPr="00C34746">
        <w:rPr>
          <w:rFonts w:ascii="Calibri" w:hAnsi="Calibri"/>
          <w:lang w:val="hr-HR"/>
        </w:rPr>
        <w:t xml:space="preserve"> milijard</w:t>
      </w:r>
      <w:r>
        <w:rPr>
          <w:rFonts w:ascii="Calibri" w:hAnsi="Calibri"/>
          <w:lang w:val="hr-HR"/>
        </w:rPr>
        <w:t>i</w:t>
      </w:r>
      <w:r w:rsidRPr="00C34746">
        <w:rPr>
          <w:rFonts w:ascii="Calibri" w:hAnsi="Calibri"/>
          <w:lang w:val="hr-HR"/>
        </w:rPr>
        <w:t xml:space="preserve"> kuna,</w:t>
      </w:r>
      <w:r>
        <w:rPr>
          <w:rFonts w:ascii="Calibri" w:hAnsi="Calibri"/>
          <w:lang w:val="hr-HR"/>
        </w:rPr>
        <w:t xml:space="preserve"> dok se istovremeno</w:t>
      </w:r>
      <w:r w:rsidRPr="00C34746">
        <w:rPr>
          <w:rFonts w:ascii="Calibri" w:hAnsi="Calibri"/>
          <w:lang w:val="hr-HR"/>
        </w:rPr>
        <w:t xml:space="preserve"> rashodi financirani iz EU sredstava i ostalih izvora </w:t>
      </w:r>
      <w:r>
        <w:rPr>
          <w:rFonts w:ascii="Calibri" w:hAnsi="Calibri"/>
          <w:lang w:val="hr-HR"/>
        </w:rPr>
        <w:t xml:space="preserve">smanjuju za 0,7 milijardi kuna. </w:t>
      </w:r>
    </w:p>
    <w:p w:rsidR="00F22D55" w:rsidRDefault="00F22D55" w:rsidP="00F22D55">
      <w:pPr>
        <w:jc w:val="both"/>
        <w:rPr>
          <w:rFonts w:ascii="Calibri" w:hAnsi="Calibri"/>
          <w:lang w:val="hr-HR"/>
        </w:rPr>
      </w:pPr>
      <w:r w:rsidRPr="00C34746">
        <w:rPr>
          <w:rFonts w:ascii="Calibri" w:hAnsi="Calibri"/>
          <w:lang w:val="hr-HR"/>
        </w:rPr>
        <w:t>Ukupni rashodi u 202</w:t>
      </w:r>
      <w:r>
        <w:rPr>
          <w:rFonts w:ascii="Calibri" w:hAnsi="Calibri"/>
          <w:lang w:val="hr-HR"/>
        </w:rPr>
        <w:t>4</w:t>
      </w:r>
      <w:r w:rsidRPr="00C34746">
        <w:rPr>
          <w:rFonts w:ascii="Calibri" w:hAnsi="Calibri"/>
          <w:lang w:val="hr-HR"/>
        </w:rPr>
        <w:t xml:space="preserve">. godini planirani su na razini od </w:t>
      </w:r>
      <w:r>
        <w:rPr>
          <w:rFonts w:ascii="Calibri" w:hAnsi="Calibri"/>
          <w:lang w:val="hr-HR"/>
        </w:rPr>
        <w:t>162,5</w:t>
      </w:r>
      <w:r w:rsidRPr="00C34746">
        <w:rPr>
          <w:rFonts w:ascii="Calibri" w:hAnsi="Calibri"/>
          <w:lang w:val="hr-HR"/>
        </w:rPr>
        <w:t xml:space="preserve"> milijard</w:t>
      </w:r>
      <w:r>
        <w:rPr>
          <w:rFonts w:ascii="Calibri" w:hAnsi="Calibri"/>
          <w:lang w:val="hr-HR"/>
        </w:rPr>
        <w:t>i kuna. Rashodi financiran</w:t>
      </w:r>
      <w:r w:rsidR="00F17D56">
        <w:rPr>
          <w:rFonts w:ascii="Calibri" w:hAnsi="Calibri"/>
          <w:lang w:val="hr-HR"/>
        </w:rPr>
        <w:t xml:space="preserve">i </w:t>
      </w:r>
      <w:r w:rsidRPr="00C34746">
        <w:rPr>
          <w:rFonts w:ascii="Calibri" w:hAnsi="Calibri"/>
          <w:lang w:val="hr-HR"/>
        </w:rPr>
        <w:t xml:space="preserve">iz općih prihoda i primitaka, doprinosa i namjenskih primitaka rastu za </w:t>
      </w:r>
      <w:r>
        <w:rPr>
          <w:rFonts w:ascii="Calibri" w:hAnsi="Calibri"/>
          <w:lang w:val="hr-HR"/>
        </w:rPr>
        <w:t xml:space="preserve">3,0 </w:t>
      </w:r>
      <w:r w:rsidRPr="00C34746">
        <w:rPr>
          <w:rFonts w:ascii="Calibri" w:hAnsi="Calibri"/>
          <w:lang w:val="hr-HR"/>
        </w:rPr>
        <w:t>milijarde kuna, a rashodi financirani iz EU sredstava i ostalih izvora sman</w:t>
      </w:r>
      <w:r>
        <w:rPr>
          <w:rFonts w:ascii="Calibri" w:hAnsi="Calibri"/>
          <w:lang w:val="hr-HR"/>
        </w:rPr>
        <w:t>juju se za 6,2 milijarde kuna u odnosu na 2023. godinu</w:t>
      </w:r>
      <w:bookmarkStart w:id="17" w:name="_Toc15461769"/>
      <w:bookmarkStart w:id="18" w:name="_Toc51682469"/>
      <w:r>
        <w:rPr>
          <w:rFonts w:ascii="Calibri" w:hAnsi="Calibri"/>
          <w:lang w:val="hr-HR"/>
        </w:rPr>
        <w:t xml:space="preserve"> uslijed </w:t>
      </w:r>
      <w:r w:rsidRPr="00D979F9">
        <w:rPr>
          <w:rFonts w:ascii="Calibri" w:hAnsi="Calibri"/>
          <w:lang w:val="hr-HR"/>
        </w:rPr>
        <w:t>završ</w:t>
      </w:r>
      <w:r>
        <w:rPr>
          <w:rFonts w:ascii="Calibri" w:hAnsi="Calibri"/>
          <w:lang w:val="hr-HR"/>
        </w:rPr>
        <w:t>etka</w:t>
      </w:r>
      <w:r w:rsidRPr="00D979F9">
        <w:rPr>
          <w:rFonts w:ascii="Calibri" w:hAnsi="Calibri"/>
          <w:lang w:val="hr-HR"/>
        </w:rPr>
        <w:t xml:space="preserve"> razdoblj</w:t>
      </w:r>
      <w:r>
        <w:rPr>
          <w:rFonts w:ascii="Calibri" w:hAnsi="Calibri"/>
          <w:lang w:val="hr-HR"/>
        </w:rPr>
        <w:t>a</w:t>
      </w:r>
      <w:r w:rsidRPr="00D979F9">
        <w:rPr>
          <w:rFonts w:ascii="Calibri" w:hAnsi="Calibri"/>
          <w:lang w:val="hr-HR"/>
        </w:rPr>
        <w:t xml:space="preserve"> korištenja sredstava iz </w:t>
      </w:r>
      <w:r>
        <w:rPr>
          <w:rFonts w:ascii="Calibri" w:hAnsi="Calibri"/>
          <w:lang w:val="hr-HR"/>
        </w:rPr>
        <w:t>EU</w:t>
      </w:r>
      <w:r w:rsidRPr="00D979F9">
        <w:rPr>
          <w:rFonts w:ascii="Calibri" w:hAnsi="Calibri"/>
          <w:lang w:val="hr-HR"/>
        </w:rPr>
        <w:t xml:space="preserve"> fondova 2014.</w:t>
      </w:r>
      <w:r>
        <w:rPr>
          <w:rFonts w:ascii="Calibri" w:hAnsi="Calibri"/>
          <w:lang w:val="hr-HR"/>
        </w:rPr>
        <w:t xml:space="preserve"> </w:t>
      </w:r>
      <w:r w:rsidRPr="00D979F9">
        <w:rPr>
          <w:rFonts w:ascii="Calibri" w:hAnsi="Calibri"/>
          <w:lang w:val="hr-HR"/>
        </w:rPr>
        <w:t>-</w:t>
      </w:r>
      <w:r>
        <w:rPr>
          <w:rFonts w:ascii="Calibri" w:hAnsi="Calibri"/>
          <w:lang w:val="hr-HR"/>
        </w:rPr>
        <w:t xml:space="preserve"> </w:t>
      </w:r>
      <w:r w:rsidRPr="00D979F9">
        <w:rPr>
          <w:rFonts w:ascii="Calibri" w:hAnsi="Calibri"/>
          <w:lang w:val="hr-HR"/>
        </w:rPr>
        <w:t>2020. Priprema programa za korištenj</w:t>
      </w:r>
      <w:r>
        <w:rPr>
          <w:rFonts w:ascii="Calibri" w:hAnsi="Calibri"/>
          <w:lang w:val="hr-HR"/>
        </w:rPr>
        <w:t>e</w:t>
      </w:r>
      <w:r w:rsidRPr="00D979F9">
        <w:rPr>
          <w:rFonts w:ascii="Calibri" w:hAnsi="Calibri"/>
          <w:lang w:val="hr-HR"/>
        </w:rPr>
        <w:t xml:space="preserve"> sredstava iz novog programskog razdoblja 2021</w:t>
      </w:r>
      <w:r>
        <w:rPr>
          <w:rFonts w:ascii="Calibri" w:hAnsi="Calibri"/>
          <w:lang w:val="hr-HR"/>
        </w:rPr>
        <w:t xml:space="preserve">. </w:t>
      </w:r>
      <w:r w:rsidRPr="00D979F9">
        <w:rPr>
          <w:rFonts w:ascii="Calibri" w:hAnsi="Calibri"/>
          <w:lang w:val="hr-HR"/>
        </w:rPr>
        <w:t>-</w:t>
      </w:r>
      <w:r>
        <w:rPr>
          <w:rFonts w:ascii="Calibri" w:hAnsi="Calibri"/>
          <w:lang w:val="hr-HR"/>
        </w:rPr>
        <w:t xml:space="preserve"> </w:t>
      </w:r>
      <w:r w:rsidRPr="00D979F9">
        <w:rPr>
          <w:rFonts w:ascii="Calibri" w:hAnsi="Calibri"/>
          <w:lang w:val="hr-HR"/>
        </w:rPr>
        <w:t>2027. je u tijeku, te će vrsta ulaganja i dinamika korištenja sredstava biti poznati nakon završetka i odobrenja programa od strane E</w:t>
      </w:r>
      <w:r>
        <w:rPr>
          <w:rFonts w:ascii="Calibri" w:hAnsi="Calibri"/>
          <w:lang w:val="hr-HR"/>
        </w:rPr>
        <w:t>uropske komisije. M</w:t>
      </w:r>
      <w:r w:rsidRPr="00D979F9">
        <w:rPr>
          <w:rFonts w:ascii="Calibri" w:hAnsi="Calibri"/>
          <w:lang w:val="hr-HR"/>
        </w:rPr>
        <w:t>ože</w:t>
      </w:r>
      <w:r>
        <w:rPr>
          <w:rFonts w:ascii="Calibri" w:hAnsi="Calibri"/>
          <w:lang w:val="hr-HR"/>
        </w:rPr>
        <w:t xml:space="preserve"> se </w:t>
      </w:r>
      <w:r w:rsidRPr="00D979F9">
        <w:rPr>
          <w:rFonts w:ascii="Calibri" w:hAnsi="Calibri"/>
          <w:lang w:val="hr-HR"/>
        </w:rPr>
        <w:t>očekivati da će</w:t>
      </w:r>
      <w:r>
        <w:rPr>
          <w:rFonts w:ascii="Calibri" w:hAnsi="Calibri"/>
          <w:lang w:val="hr-HR"/>
        </w:rPr>
        <w:t xml:space="preserve"> dinamika korištenja sredstva </w:t>
      </w:r>
      <w:r w:rsidRPr="00D979F9">
        <w:rPr>
          <w:rFonts w:ascii="Calibri" w:hAnsi="Calibri"/>
          <w:lang w:val="hr-HR"/>
        </w:rPr>
        <w:t>iz</w:t>
      </w:r>
      <w:r>
        <w:rPr>
          <w:rFonts w:ascii="Calibri" w:hAnsi="Calibri"/>
          <w:lang w:val="hr-HR"/>
        </w:rPr>
        <w:t xml:space="preserve"> novog programskog razdoblja</w:t>
      </w:r>
      <w:r w:rsidRPr="00D979F9">
        <w:rPr>
          <w:rFonts w:ascii="Calibri" w:hAnsi="Calibri"/>
          <w:lang w:val="hr-HR"/>
        </w:rPr>
        <w:t xml:space="preserve"> biti veća od 2025. </w:t>
      </w:r>
      <w:r>
        <w:rPr>
          <w:rFonts w:ascii="Calibri" w:hAnsi="Calibri"/>
          <w:lang w:val="hr-HR"/>
        </w:rPr>
        <w:lastRenderedPageBreak/>
        <w:t xml:space="preserve">godine. </w:t>
      </w:r>
      <w:r w:rsidRPr="00D979F9">
        <w:rPr>
          <w:rFonts w:ascii="Calibri" w:hAnsi="Calibri"/>
          <w:lang w:val="hr-HR"/>
        </w:rPr>
        <w:t xml:space="preserve">Također, očekuje se povećanje rashoda koji se financiraju iz Nacionalnog plana oporavka i otpornosti. </w:t>
      </w:r>
    </w:p>
    <w:p w:rsidR="00CB3800" w:rsidRPr="00416D9B" w:rsidRDefault="00CB3800" w:rsidP="00CB3800">
      <w:pPr>
        <w:spacing w:before="120" w:after="120" w:line="240" w:lineRule="auto"/>
        <w:rPr>
          <w:rFonts w:ascii="Calibri" w:eastAsia="Times New Roman" w:hAnsi="Calibri" w:cs="Times New Roman"/>
          <w:bCs/>
          <w:i/>
          <w:sz w:val="24"/>
          <w:szCs w:val="24"/>
          <w:highlight w:val="yellow"/>
          <w:lang w:val="hr-HR"/>
        </w:rPr>
      </w:pPr>
      <w:bookmarkStart w:id="19" w:name="_Toc78394995"/>
      <w:bookmarkEnd w:id="17"/>
      <w:bookmarkEnd w:id="18"/>
      <w:r w:rsidRPr="00CB3800">
        <w:rPr>
          <w:rFonts w:ascii="Calibri" w:eastAsia="Times New Roman" w:hAnsi="Calibri" w:cs="Times New Roman"/>
          <w:bCs/>
          <w:i/>
          <w:sz w:val="24"/>
          <w:szCs w:val="24"/>
          <w:lang w:val="hr-HR"/>
        </w:rPr>
        <w:t xml:space="preserve">Tablica </w:t>
      </w:r>
      <w:r w:rsidRPr="00CB3800">
        <w:rPr>
          <w:rFonts w:ascii="Calibri" w:eastAsia="Times New Roman" w:hAnsi="Calibri" w:cs="Times New Roman"/>
          <w:bCs/>
          <w:i/>
          <w:sz w:val="24"/>
          <w:szCs w:val="24"/>
          <w:lang w:val="hr-HR"/>
        </w:rPr>
        <w:fldChar w:fldCharType="begin"/>
      </w:r>
      <w:r w:rsidRPr="00CB3800">
        <w:rPr>
          <w:rFonts w:ascii="Calibri" w:eastAsia="Times New Roman" w:hAnsi="Calibri" w:cs="Times New Roman"/>
          <w:bCs/>
          <w:i/>
          <w:sz w:val="24"/>
          <w:szCs w:val="24"/>
          <w:lang w:val="hr-HR"/>
        </w:rPr>
        <w:instrText xml:space="preserve"> SEQ Tablica \* ARABIC </w:instrText>
      </w:r>
      <w:r w:rsidRPr="00CB3800">
        <w:rPr>
          <w:rFonts w:ascii="Calibri" w:eastAsia="Times New Roman" w:hAnsi="Calibri" w:cs="Times New Roman"/>
          <w:bCs/>
          <w:i/>
          <w:sz w:val="24"/>
          <w:szCs w:val="24"/>
          <w:lang w:val="hr-HR"/>
        </w:rPr>
        <w:fldChar w:fldCharType="separate"/>
      </w:r>
      <w:r w:rsidR="00F17D56">
        <w:rPr>
          <w:rFonts w:ascii="Calibri" w:eastAsia="Times New Roman" w:hAnsi="Calibri" w:cs="Times New Roman"/>
          <w:bCs/>
          <w:i/>
          <w:noProof/>
          <w:sz w:val="24"/>
          <w:szCs w:val="24"/>
          <w:lang w:val="hr-HR"/>
        </w:rPr>
        <w:t>3</w:t>
      </w:r>
      <w:r w:rsidRPr="00CB3800">
        <w:rPr>
          <w:rFonts w:ascii="Calibri" w:eastAsia="Times New Roman" w:hAnsi="Calibri" w:cs="Times New Roman"/>
          <w:bCs/>
          <w:i/>
          <w:sz w:val="24"/>
          <w:szCs w:val="24"/>
          <w:lang w:val="hr-HR"/>
        </w:rPr>
        <w:fldChar w:fldCharType="end"/>
      </w:r>
      <w:r w:rsidRPr="00CB3800">
        <w:rPr>
          <w:rFonts w:ascii="Calibri" w:eastAsia="Times New Roman" w:hAnsi="Calibri" w:cs="Times New Roman"/>
          <w:bCs/>
          <w:i/>
          <w:sz w:val="24"/>
          <w:szCs w:val="24"/>
          <w:lang w:val="hr-HR"/>
        </w:rPr>
        <w:t>: Kretanje rashoda državnog proračuna koji se financiraju iz općih prihoda i primitaka, doprinosa i namjenskih primitaka u razdoblju 2020. – 2024.</w:t>
      </w:r>
      <w:bookmarkEnd w:id="19"/>
    </w:p>
    <w:p w:rsidR="00F22D55" w:rsidRPr="00C34746" w:rsidRDefault="00F22D55" w:rsidP="00F22D55">
      <w:pPr>
        <w:spacing w:after="0"/>
        <w:rPr>
          <w:lang w:val="hr-HR"/>
        </w:rPr>
      </w:pPr>
      <w:r w:rsidRPr="00FE73F6">
        <w:rPr>
          <w:noProof/>
          <w:lang w:val="hr-HR" w:eastAsia="hr-HR"/>
        </w:rPr>
        <w:drawing>
          <wp:inline distT="0" distB="0" distL="0" distR="0" wp14:anchorId="1F808A67" wp14:editId="214A44D3">
            <wp:extent cx="5760720" cy="2512490"/>
            <wp:effectExtent l="0" t="0" r="0" b="254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512490"/>
                    </a:xfrm>
                    <a:prstGeom prst="rect">
                      <a:avLst/>
                    </a:prstGeom>
                    <a:noFill/>
                    <a:ln>
                      <a:noFill/>
                    </a:ln>
                  </pic:spPr>
                </pic:pic>
              </a:graphicData>
            </a:graphic>
          </wp:inline>
        </w:drawing>
      </w:r>
    </w:p>
    <w:p w:rsidR="00F22D55" w:rsidRDefault="00F22D55" w:rsidP="00F22D55">
      <w:pPr>
        <w:spacing w:after="120"/>
        <w:rPr>
          <w:rFonts w:ascii="Calibri" w:hAnsi="Calibri"/>
          <w:i/>
          <w:sz w:val="20"/>
          <w:szCs w:val="20"/>
          <w:lang w:val="hr-HR"/>
        </w:rPr>
      </w:pPr>
      <w:r w:rsidRPr="00C34746">
        <w:rPr>
          <w:rFonts w:ascii="Calibri" w:hAnsi="Calibri"/>
          <w:i/>
          <w:sz w:val="20"/>
          <w:szCs w:val="20"/>
          <w:lang w:val="hr-HR"/>
        </w:rPr>
        <w:t>Izvor: Ministarstvo financija</w:t>
      </w:r>
    </w:p>
    <w:p w:rsidR="00F22D55" w:rsidRDefault="00F22D55" w:rsidP="00F22D55">
      <w:pPr>
        <w:jc w:val="both"/>
        <w:rPr>
          <w:rFonts w:ascii="Calibri" w:hAnsi="Calibri"/>
          <w:lang w:val="hr-HR"/>
        </w:rPr>
      </w:pPr>
    </w:p>
    <w:p w:rsidR="00CB3800" w:rsidRPr="00416D9B" w:rsidRDefault="00CB3800" w:rsidP="00CB3800">
      <w:pPr>
        <w:spacing w:before="120" w:after="120"/>
        <w:rPr>
          <w:rFonts w:ascii="Calibri" w:eastAsia="Times New Roman" w:hAnsi="Calibri" w:cs="Times New Roman"/>
          <w:bCs/>
          <w:i/>
          <w:sz w:val="24"/>
          <w:szCs w:val="24"/>
          <w:highlight w:val="yellow"/>
          <w:lang w:val="hr-HR"/>
        </w:rPr>
      </w:pPr>
      <w:bookmarkStart w:id="20" w:name="_Toc15461770"/>
      <w:bookmarkStart w:id="21" w:name="_Toc78384044"/>
      <w:bookmarkStart w:id="22" w:name="_Toc78394996"/>
      <w:r w:rsidRPr="00CB3800">
        <w:rPr>
          <w:rFonts w:ascii="Calibri" w:eastAsia="Times New Roman" w:hAnsi="Calibri" w:cs="Times New Roman"/>
          <w:bCs/>
          <w:i/>
          <w:sz w:val="24"/>
          <w:szCs w:val="24"/>
          <w:lang w:val="hr-HR"/>
        </w:rPr>
        <w:t xml:space="preserve">Tablica </w:t>
      </w:r>
      <w:r w:rsidRPr="00CB3800">
        <w:rPr>
          <w:rFonts w:ascii="Calibri" w:eastAsia="Times New Roman" w:hAnsi="Calibri" w:cs="Times New Roman"/>
          <w:bCs/>
          <w:i/>
          <w:sz w:val="24"/>
          <w:szCs w:val="24"/>
          <w:lang w:val="hr-HR"/>
        </w:rPr>
        <w:fldChar w:fldCharType="begin"/>
      </w:r>
      <w:r w:rsidRPr="00CB3800">
        <w:rPr>
          <w:rFonts w:ascii="Calibri" w:eastAsia="Times New Roman" w:hAnsi="Calibri" w:cs="Times New Roman"/>
          <w:bCs/>
          <w:i/>
          <w:sz w:val="24"/>
          <w:szCs w:val="24"/>
          <w:lang w:val="hr-HR"/>
        </w:rPr>
        <w:instrText xml:space="preserve"> SEQ Tablica \* ARABIC </w:instrText>
      </w:r>
      <w:r w:rsidRPr="00CB3800">
        <w:rPr>
          <w:rFonts w:ascii="Calibri" w:eastAsia="Times New Roman" w:hAnsi="Calibri" w:cs="Times New Roman"/>
          <w:bCs/>
          <w:i/>
          <w:sz w:val="24"/>
          <w:szCs w:val="24"/>
          <w:lang w:val="hr-HR"/>
        </w:rPr>
        <w:fldChar w:fldCharType="separate"/>
      </w:r>
      <w:r w:rsidR="00F17D56">
        <w:rPr>
          <w:rFonts w:ascii="Calibri" w:eastAsia="Times New Roman" w:hAnsi="Calibri" w:cs="Times New Roman"/>
          <w:bCs/>
          <w:i/>
          <w:noProof/>
          <w:sz w:val="24"/>
          <w:szCs w:val="24"/>
          <w:lang w:val="hr-HR"/>
        </w:rPr>
        <w:t>4</w:t>
      </w:r>
      <w:r w:rsidRPr="00CB3800">
        <w:rPr>
          <w:rFonts w:ascii="Calibri" w:eastAsia="Times New Roman" w:hAnsi="Calibri" w:cs="Times New Roman"/>
          <w:bCs/>
          <w:i/>
          <w:sz w:val="24"/>
          <w:szCs w:val="24"/>
          <w:lang w:val="hr-HR"/>
        </w:rPr>
        <w:fldChar w:fldCharType="end"/>
      </w:r>
      <w:r w:rsidRPr="00CB3800">
        <w:rPr>
          <w:rFonts w:ascii="Calibri" w:eastAsia="Times New Roman" w:hAnsi="Calibri" w:cs="Times New Roman"/>
          <w:bCs/>
          <w:i/>
          <w:sz w:val="24"/>
          <w:szCs w:val="24"/>
          <w:lang w:val="hr-HR"/>
        </w:rPr>
        <w:t>: Kretanje rashoda državnog proračuna koji se financiraju iz vlastitih prihoda, prihoda za posebne namjene, pomoći i donacija u razdoblju 2020. – 2024.</w:t>
      </w:r>
      <w:bookmarkEnd w:id="20"/>
      <w:bookmarkEnd w:id="21"/>
      <w:bookmarkEnd w:id="22"/>
    </w:p>
    <w:p w:rsidR="00F22D55" w:rsidRPr="00C34746" w:rsidRDefault="00F22D55" w:rsidP="00F22D55">
      <w:pPr>
        <w:spacing w:after="0"/>
        <w:rPr>
          <w:lang w:val="hr-HR"/>
        </w:rPr>
      </w:pPr>
      <w:r w:rsidRPr="00C428EC">
        <w:rPr>
          <w:noProof/>
          <w:lang w:val="hr-HR" w:eastAsia="hr-HR"/>
        </w:rPr>
        <w:drawing>
          <wp:inline distT="0" distB="0" distL="0" distR="0" wp14:anchorId="393F0DFF" wp14:editId="4308C415">
            <wp:extent cx="5760720" cy="2464221"/>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464221"/>
                    </a:xfrm>
                    <a:prstGeom prst="rect">
                      <a:avLst/>
                    </a:prstGeom>
                    <a:noFill/>
                    <a:ln>
                      <a:noFill/>
                    </a:ln>
                  </pic:spPr>
                </pic:pic>
              </a:graphicData>
            </a:graphic>
          </wp:inline>
        </w:drawing>
      </w:r>
      <w:r w:rsidRPr="00C34746">
        <w:rPr>
          <w:rFonts w:ascii="Calibri" w:hAnsi="Calibri"/>
          <w:i/>
          <w:sz w:val="20"/>
          <w:szCs w:val="20"/>
          <w:lang w:val="hr-HR"/>
        </w:rPr>
        <w:t>Izvor: Ministarstvo financija</w:t>
      </w:r>
    </w:p>
    <w:p w:rsidR="00F22D55" w:rsidRPr="00C34746" w:rsidRDefault="00F22D55" w:rsidP="00F22D55">
      <w:pPr>
        <w:spacing w:before="120" w:after="120"/>
        <w:rPr>
          <w:rFonts w:ascii="Calibri" w:eastAsia="Times New Roman" w:hAnsi="Calibri" w:cs="Times New Roman"/>
          <w:bCs/>
          <w:i/>
          <w:sz w:val="24"/>
          <w:szCs w:val="24"/>
          <w:highlight w:val="yellow"/>
          <w:lang w:val="hr-HR"/>
        </w:rPr>
      </w:pPr>
    </w:p>
    <w:p w:rsidR="00F22D55" w:rsidRDefault="00F22D55" w:rsidP="00F22D55">
      <w:pPr>
        <w:spacing w:before="120" w:after="120"/>
        <w:rPr>
          <w:rFonts w:ascii="Calibri" w:eastAsia="Times New Roman" w:hAnsi="Calibri" w:cs="Times New Roman"/>
          <w:bCs/>
          <w:i/>
          <w:lang w:val="hr-HR"/>
        </w:rPr>
      </w:pPr>
      <w:bookmarkStart w:id="23" w:name="_Toc15461771"/>
      <w:bookmarkStart w:id="24" w:name="_Toc51682471"/>
    </w:p>
    <w:p w:rsidR="00F22D55" w:rsidRDefault="00F22D55" w:rsidP="00F22D55">
      <w:pPr>
        <w:spacing w:before="120" w:after="120"/>
        <w:rPr>
          <w:rFonts w:ascii="Calibri" w:eastAsia="Times New Roman" w:hAnsi="Calibri" w:cs="Times New Roman"/>
          <w:bCs/>
          <w:i/>
          <w:lang w:val="hr-HR"/>
        </w:rPr>
      </w:pPr>
    </w:p>
    <w:p w:rsidR="00F22D55" w:rsidRDefault="00F22D55" w:rsidP="00F22D55">
      <w:pPr>
        <w:spacing w:before="120" w:after="120"/>
        <w:rPr>
          <w:rFonts w:ascii="Calibri" w:eastAsia="Times New Roman" w:hAnsi="Calibri" w:cs="Times New Roman"/>
          <w:bCs/>
          <w:i/>
          <w:lang w:val="hr-HR"/>
        </w:rPr>
      </w:pPr>
    </w:p>
    <w:p w:rsidR="006702E8" w:rsidRDefault="006702E8" w:rsidP="006702E8">
      <w:pPr>
        <w:pStyle w:val="Opisslike"/>
        <w:ind w:left="0"/>
        <w:jc w:val="left"/>
        <w:rPr>
          <w:rFonts w:ascii="Calibri" w:hAnsi="Calibri"/>
          <w:b w:val="0"/>
          <w:i/>
          <w:sz w:val="22"/>
          <w:szCs w:val="22"/>
          <w:lang w:val="hr-HR"/>
        </w:rPr>
      </w:pPr>
    </w:p>
    <w:p w:rsidR="00CB3800" w:rsidRPr="00CB3800" w:rsidRDefault="00CB3800" w:rsidP="00CB3800">
      <w:pPr>
        <w:rPr>
          <w:lang w:val="hr-HR"/>
        </w:rPr>
      </w:pPr>
    </w:p>
    <w:p w:rsidR="00CB3800" w:rsidRPr="00416D9B" w:rsidRDefault="00CB3800" w:rsidP="00CB3800">
      <w:pPr>
        <w:spacing w:before="120" w:after="120"/>
        <w:rPr>
          <w:rFonts w:ascii="Calibri" w:eastAsia="Times New Roman" w:hAnsi="Calibri" w:cs="Times New Roman"/>
          <w:bCs/>
          <w:i/>
          <w:sz w:val="24"/>
          <w:szCs w:val="24"/>
          <w:highlight w:val="yellow"/>
          <w:lang w:val="hr-HR"/>
        </w:rPr>
      </w:pPr>
      <w:bookmarkStart w:id="25" w:name="_Toc78384045"/>
      <w:bookmarkStart w:id="26" w:name="_Toc78394997"/>
      <w:bookmarkEnd w:id="23"/>
      <w:bookmarkEnd w:id="24"/>
      <w:r w:rsidRPr="00CB3800">
        <w:rPr>
          <w:rFonts w:ascii="Calibri" w:eastAsia="Times New Roman" w:hAnsi="Calibri" w:cs="Times New Roman"/>
          <w:bCs/>
          <w:i/>
          <w:sz w:val="24"/>
          <w:szCs w:val="24"/>
          <w:lang w:val="hr-HR"/>
        </w:rPr>
        <w:lastRenderedPageBreak/>
        <w:t xml:space="preserve">Tablica </w:t>
      </w:r>
      <w:r w:rsidRPr="00CB3800">
        <w:rPr>
          <w:rFonts w:ascii="Calibri" w:eastAsia="Times New Roman" w:hAnsi="Calibri" w:cs="Times New Roman"/>
          <w:bCs/>
          <w:i/>
          <w:sz w:val="24"/>
          <w:szCs w:val="24"/>
          <w:lang w:val="hr-HR"/>
        </w:rPr>
        <w:fldChar w:fldCharType="begin"/>
      </w:r>
      <w:r w:rsidRPr="00CB3800">
        <w:rPr>
          <w:rFonts w:ascii="Calibri" w:eastAsia="Times New Roman" w:hAnsi="Calibri" w:cs="Times New Roman"/>
          <w:bCs/>
          <w:i/>
          <w:sz w:val="24"/>
          <w:szCs w:val="24"/>
          <w:lang w:val="hr-HR"/>
        </w:rPr>
        <w:instrText xml:space="preserve"> SEQ Tablica \* ARABIC </w:instrText>
      </w:r>
      <w:r w:rsidRPr="00CB3800">
        <w:rPr>
          <w:rFonts w:ascii="Calibri" w:eastAsia="Times New Roman" w:hAnsi="Calibri" w:cs="Times New Roman"/>
          <w:bCs/>
          <w:i/>
          <w:sz w:val="24"/>
          <w:szCs w:val="24"/>
          <w:lang w:val="hr-HR"/>
        </w:rPr>
        <w:fldChar w:fldCharType="separate"/>
      </w:r>
      <w:r w:rsidR="00F17D56">
        <w:rPr>
          <w:rFonts w:ascii="Calibri" w:eastAsia="Times New Roman" w:hAnsi="Calibri" w:cs="Times New Roman"/>
          <w:bCs/>
          <w:i/>
          <w:noProof/>
          <w:sz w:val="24"/>
          <w:szCs w:val="24"/>
          <w:lang w:val="hr-HR"/>
        </w:rPr>
        <w:t>5</w:t>
      </w:r>
      <w:r w:rsidRPr="00CB3800">
        <w:rPr>
          <w:rFonts w:ascii="Calibri" w:eastAsia="Times New Roman" w:hAnsi="Calibri" w:cs="Times New Roman"/>
          <w:bCs/>
          <w:i/>
          <w:sz w:val="24"/>
          <w:szCs w:val="24"/>
          <w:lang w:val="hr-HR"/>
        </w:rPr>
        <w:fldChar w:fldCharType="end"/>
      </w:r>
      <w:r w:rsidRPr="00CB3800">
        <w:rPr>
          <w:rFonts w:ascii="Calibri" w:eastAsia="Times New Roman" w:hAnsi="Calibri" w:cs="Times New Roman"/>
          <w:bCs/>
          <w:i/>
          <w:sz w:val="24"/>
          <w:szCs w:val="24"/>
          <w:lang w:val="hr-HR"/>
        </w:rPr>
        <w:t>: Kretanje ukupnih rashoda državnog proračuna u razdoblju 2020. – 2024.</w:t>
      </w:r>
      <w:bookmarkEnd w:id="25"/>
      <w:bookmarkEnd w:id="26"/>
    </w:p>
    <w:p w:rsidR="00F22D55" w:rsidRPr="00C34746" w:rsidRDefault="00F22D55" w:rsidP="00F22D55">
      <w:pPr>
        <w:spacing w:after="0"/>
        <w:rPr>
          <w:lang w:val="hr-HR"/>
        </w:rPr>
      </w:pPr>
      <w:r w:rsidRPr="00C428EC">
        <w:rPr>
          <w:noProof/>
          <w:lang w:val="hr-HR" w:eastAsia="hr-HR"/>
        </w:rPr>
        <w:drawing>
          <wp:inline distT="0" distB="0" distL="0" distR="0" wp14:anchorId="4257284E" wp14:editId="24B2078A">
            <wp:extent cx="5760720" cy="2464221"/>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464221"/>
                    </a:xfrm>
                    <a:prstGeom prst="rect">
                      <a:avLst/>
                    </a:prstGeom>
                    <a:noFill/>
                    <a:ln>
                      <a:noFill/>
                    </a:ln>
                  </pic:spPr>
                </pic:pic>
              </a:graphicData>
            </a:graphic>
          </wp:inline>
        </w:drawing>
      </w:r>
    </w:p>
    <w:p w:rsidR="00F22D55" w:rsidRPr="00C34746" w:rsidRDefault="00F22D55" w:rsidP="00F22D55">
      <w:pPr>
        <w:spacing w:after="120"/>
        <w:rPr>
          <w:rFonts w:ascii="Calibri" w:hAnsi="Calibri"/>
          <w:i/>
          <w:sz w:val="20"/>
          <w:szCs w:val="20"/>
          <w:lang w:val="hr-HR"/>
        </w:rPr>
      </w:pPr>
      <w:r w:rsidRPr="00C34746">
        <w:rPr>
          <w:rFonts w:ascii="Calibri" w:hAnsi="Calibri"/>
          <w:i/>
          <w:sz w:val="20"/>
          <w:szCs w:val="20"/>
          <w:lang w:val="hr-HR"/>
        </w:rPr>
        <w:t>Izvor: Ministarstvo financija</w:t>
      </w:r>
    </w:p>
    <w:p w:rsidR="00F22D55" w:rsidRDefault="00F22D55" w:rsidP="00F22D55">
      <w:pPr>
        <w:spacing w:after="120"/>
        <w:rPr>
          <w:b/>
          <w:bCs/>
          <w:i/>
          <w:sz w:val="24"/>
          <w:lang w:val="hr-HR"/>
        </w:rPr>
      </w:pPr>
    </w:p>
    <w:p w:rsidR="00F22D55" w:rsidRPr="00F22D55" w:rsidRDefault="00F22D55" w:rsidP="00F22D55">
      <w:pPr>
        <w:spacing w:after="120"/>
        <w:rPr>
          <w:b/>
          <w:bCs/>
          <w:i/>
          <w:sz w:val="24"/>
          <w:lang w:val="hr-HR"/>
        </w:rPr>
      </w:pPr>
      <w:r w:rsidRPr="00C34746">
        <w:rPr>
          <w:b/>
          <w:bCs/>
          <w:i/>
          <w:sz w:val="24"/>
          <w:lang w:val="hr-HR"/>
        </w:rPr>
        <w:t>Rashodi za zaposlene</w:t>
      </w:r>
    </w:p>
    <w:p w:rsidR="00F22D55" w:rsidRPr="00C34746" w:rsidRDefault="00F22D55" w:rsidP="00F22D55">
      <w:pPr>
        <w:jc w:val="both"/>
        <w:rPr>
          <w:rFonts w:ascii="Calibri" w:hAnsi="Calibri"/>
          <w:lang w:val="hr-HR"/>
        </w:rPr>
      </w:pPr>
      <w:r w:rsidRPr="00C34746">
        <w:rPr>
          <w:rFonts w:ascii="Calibri" w:hAnsi="Calibri"/>
          <w:lang w:val="hr-HR"/>
        </w:rPr>
        <w:t>Ukupni rashodi za zaposlene u 202</w:t>
      </w:r>
      <w:r>
        <w:rPr>
          <w:rFonts w:ascii="Calibri" w:hAnsi="Calibri"/>
          <w:lang w:val="hr-HR"/>
        </w:rPr>
        <w:t>2</w:t>
      </w:r>
      <w:r w:rsidRPr="00C34746">
        <w:rPr>
          <w:rFonts w:ascii="Calibri" w:hAnsi="Calibri"/>
          <w:lang w:val="hr-HR"/>
        </w:rPr>
        <w:t xml:space="preserve">. godini planiraju se u iznosu od </w:t>
      </w:r>
      <w:r>
        <w:rPr>
          <w:rFonts w:ascii="Calibri" w:hAnsi="Calibri"/>
          <w:lang w:val="hr-HR"/>
        </w:rPr>
        <w:t>24,3 milijarde</w:t>
      </w:r>
      <w:r w:rsidRPr="00C34746">
        <w:rPr>
          <w:rFonts w:ascii="Calibri" w:hAnsi="Calibri"/>
          <w:lang w:val="hr-HR"/>
        </w:rPr>
        <w:t xml:space="preserve"> kuna i bilježe rast od </w:t>
      </w:r>
      <w:r>
        <w:rPr>
          <w:rFonts w:ascii="Calibri" w:hAnsi="Calibri"/>
          <w:lang w:val="hr-HR"/>
        </w:rPr>
        <w:t>423,5</w:t>
      </w:r>
      <w:r w:rsidRPr="00C34746">
        <w:rPr>
          <w:rFonts w:ascii="Calibri" w:hAnsi="Calibri"/>
          <w:lang w:val="hr-HR"/>
        </w:rPr>
        <w:t xml:space="preserve"> </w:t>
      </w:r>
      <w:r>
        <w:rPr>
          <w:rFonts w:ascii="Calibri" w:hAnsi="Calibri"/>
          <w:lang w:val="hr-HR"/>
        </w:rPr>
        <w:t>milijuna</w:t>
      </w:r>
      <w:r w:rsidRPr="00C34746">
        <w:rPr>
          <w:rFonts w:ascii="Calibri" w:hAnsi="Calibri"/>
          <w:lang w:val="hr-HR"/>
        </w:rPr>
        <w:t xml:space="preserve"> kuna u odnosu na tekući plan 202</w:t>
      </w:r>
      <w:r>
        <w:rPr>
          <w:rFonts w:ascii="Calibri" w:hAnsi="Calibri"/>
          <w:lang w:val="hr-HR"/>
        </w:rPr>
        <w:t>1</w:t>
      </w:r>
      <w:r w:rsidRPr="00C34746">
        <w:rPr>
          <w:rFonts w:ascii="Calibri" w:hAnsi="Calibri"/>
          <w:lang w:val="hr-HR"/>
        </w:rPr>
        <w:t xml:space="preserve">. godine. Ovi rashodi financirani iz općih prihoda i primitaka, doprinosa i namjenskih primitaka povećavaju se za </w:t>
      </w:r>
      <w:r>
        <w:rPr>
          <w:rFonts w:ascii="Calibri" w:hAnsi="Calibri"/>
          <w:lang w:val="hr-HR"/>
        </w:rPr>
        <w:t>325,5</w:t>
      </w:r>
      <w:r w:rsidRPr="00C34746">
        <w:rPr>
          <w:rFonts w:ascii="Calibri" w:hAnsi="Calibri"/>
          <w:lang w:val="hr-HR"/>
        </w:rPr>
        <w:t xml:space="preserve"> milijuna kuna u odnosu na tekući plan 202</w:t>
      </w:r>
      <w:r>
        <w:rPr>
          <w:rFonts w:ascii="Calibri" w:hAnsi="Calibri"/>
          <w:lang w:val="hr-HR"/>
        </w:rPr>
        <w:t>1</w:t>
      </w:r>
      <w:r w:rsidRPr="00C34746">
        <w:rPr>
          <w:rFonts w:ascii="Calibri" w:hAnsi="Calibri"/>
          <w:lang w:val="hr-HR"/>
        </w:rPr>
        <w:t xml:space="preserve">. godine i iznose ukupno </w:t>
      </w:r>
      <w:r>
        <w:rPr>
          <w:rFonts w:ascii="Calibri" w:hAnsi="Calibri"/>
          <w:lang w:val="hr-HR"/>
        </w:rPr>
        <w:t>17,9</w:t>
      </w:r>
      <w:r w:rsidRPr="00C34746">
        <w:rPr>
          <w:rFonts w:ascii="Calibri" w:hAnsi="Calibri"/>
          <w:lang w:val="hr-HR"/>
        </w:rPr>
        <w:t xml:space="preserve"> milijard</w:t>
      </w:r>
      <w:r>
        <w:rPr>
          <w:rFonts w:ascii="Calibri" w:hAnsi="Calibri"/>
          <w:lang w:val="hr-HR"/>
        </w:rPr>
        <w:t>i</w:t>
      </w:r>
      <w:r w:rsidRPr="00C34746">
        <w:rPr>
          <w:rFonts w:ascii="Calibri" w:hAnsi="Calibri"/>
          <w:lang w:val="hr-HR"/>
        </w:rPr>
        <w:t xml:space="preserve"> kuna. </w:t>
      </w:r>
    </w:p>
    <w:p w:rsidR="00F22D55" w:rsidRDefault="00F22D55" w:rsidP="00F22D55">
      <w:pPr>
        <w:jc w:val="both"/>
        <w:rPr>
          <w:rFonts w:ascii="Calibri" w:hAnsi="Calibri"/>
          <w:lang w:val="hr-HR"/>
        </w:rPr>
      </w:pPr>
      <w:r w:rsidRPr="00C34746">
        <w:rPr>
          <w:rFonts w:ascii="Calibri" w:hAnsi="Calibri"/>
          <w:lang w:val="hr-HR"/>
        </w:rPr>
        <w:t xml:space="preserve">Rashodi za zaposlene financirani iz </w:t>
      </w:r>
      <w:r w:rsidRPr="00B726DA">
        <w:rPr>
          <w:rFonts w:ascii="Calibri" w:hAnsi="Calibri"/>
          <w:lang w:val="hr-HR"/>
        </w:rPr>
        <w:t xml:space="preserve">EU </w:t>
      </w:r>
      <w:r>
        <w:rPr>
          <w:rFonts w:ascii="Calibri" w:hAnsi="Calibri"/>
          <w:lang w:val="hr-HR"/>
        </w:rPr>
        <w:t>i ostalih izvora</w:t>
      </w:r>
      <w:r w:rsidRPr="00C34746">
        <w:rPr>
          <w:rFonts w:ascii="Calibri" w:hAnsi="Calibri"/>
          <w:lang w:val="hr-HR"/>
        </w:rPr>
        <w:t xml:space="preserve"> planiraju se na razini od </w:t>
      </w:r>
      <w:r>
        <w:rPr>
          <w:rFonts w:ascii="Calibri" w:hAnsi="Calibri"/>
          <w:lang w:val="hr-HR"/>
        </w:rPr>
        <w:t>6,4 milijarde</w:t>
      </w:r>
      <w:r w:rsidRPr="00C34746">
        <w:rPr>
          <w:rFonts w:ascii="Calibri" w:hAnsi="Calibri"/>
          <w:lang w:val="hr-HR"/>
        </w:rPr>
        <w:t xml:space="preserve"> kuna i </w:t>
      </w:r>
      <w:r>
        <w:rPr>
          <w:rFonts w:ascii="Calibri" w:hAnsi="Calibri"/>
          <w:lang w:val="hr-HR"/>
        </w:rPr>
        <w:t xml:space="preserve">također </w:t>
      </w:r>
      <w:r w:rsidRPr="00C34746">
        <w:rPr>
          <w:rFonts w:ascii="Calibri" w:hAnsi="Calibri"/>
          <w:lang w:val="hr-HR"/>
        </w:rPr>
        <w:t xml:space="preserve">bilježe rast od </w:t>
      </w:r>
      <w:r>
        <w:rPr>
          <w:rFonts w:ascii="Calibri" w:hAnsi="Calibri"/>
          <w:lang w:val="hr-HR"/>
        </w:rPr>
        <w:t>98,0</w:t>
      </w:r>
      <w:r w:rsidRPr="00C34746">
        <w:rPr>
          <w:rFonts w:ascii="Calibri" w:hAnsi="Calibri"/>
          <w:lang w:val="hr-HR"/>
        </w:rPr>
        <w:t xml:space="preserve"> milijuna kuna u odnosu na tekući</w:t>
      </w:r>
      <w:r>
        <w:rPr>
          <w:rFonts w:ascii="Calibri" w:hAnsi="Calibri"/>
          <w:lang w:val="hr-HR"/>
        </w:rPr>
        <w:t xml:space="preserve"> plan 2021</w:t>
      </w:r>
      <w:r w:rsidRPr="00C34746">
        <w:rPr>
          <w:rFonts w:ascii="Calibri" w:hAnsi="Calibri"/>
          <w:lang w:val="hr-HR"/>
        </w:rPr>
        <w:t>. godine</w:t>
      </w:r>
      <w:r>
        <w:rPr>
          <w:rFonts w:ascii="Calibri" w:hAnsi="Calibri"/>
          <w:lang w:val="hr-HR"/>
        </w:rPr>
        <w:t>.</w:t>
      </w:r>
    </w:p>
    <w:p w:rsidR="00F22D55" w:rsidRDefault="00F22D55" w:rsidP="00F22D55">
      <w:pPr>
        <w:jc w:val="both"/>
        <w:rPr>
          <w:rFonts w:ascii="Calibri" w:hAnsi="Calibri"/>
          <w:lang w:val="hr-HR"/>
        </w:rPr>
      </w:pPr>
      <w:r>
        <w:rPr>
          <w:rFonts w:ascii="Calibri" w:hAnsi="Calibri"/>
          <w:lang w:val="hr-HR"/>
        </w:rPr>
        <w:t>U 2023</w:t>
      </w:r>
      <w:r w:rsidRPr="00C34746">
        <w:rPr>
          <w:rFonts w:ascii="Calibri" w:hAnsi="Calibri"/>
          <w:lang w:val="hr-HR"/>
        </w:rPr>
        <w:t>. i 202</w:t>
      </w:r>
      <w:r>
        <w:rPr>
          <w:rFonts w:ascii="Calibri" w:hAnsi="Calibri"/>
          <w:lang w:val="hr-HR"/>
        </w:rPr>
        <w:t>4</w:t>
      </w:r>
      <w:r w:rsidRPr="00C34746">
        <w:rPr>
          <w:rFonts w:ascii="Calibri" w:hAnsi="Calibri"/>
          <w:lang w:val="hr-HR"/>
        </w:rPr>
        <w:t xml:space="preserve">. godini očekuje se daljnje povećanje ovih rashoda. </w:t>
      </w:r>
    </w:p>
    <w:p w:rsidR="00F22D55" w:rsidRPr="00C34746" w:rsidRDefault="00F22D55" w:rsidP="00F22D55">
      <w:pPr>
        <w:jc w:val="both"/>
        <w:rPr>
          <w:rFonts w:ascii="Calibri" w:hAnsi="Calibri"/>
          <w:lang w:val="hr-HR"/>
        </w:rPr>
      </w:pPr>
    </w:p>
    <w:p w:rsidR="00F22D55" w:rsidRPr="00C34746" w:rsidRDefault="00F22D55" w:rsidP="00F22D55">
      <w:pPr>
        <w:tabs>
          <w:tab w:val="left" w:pos="0"/>
        </w:tabs>
        <w:jc w:val="both"/>
        <w:rPr>
          <w:b/>
          <w:bCs/>
          <w:i/>
          <w:sz w:val="24"/>
          <w:lang w:val="hr-HR"/>
        </w:rPr>
      </w:pPr>
      <w:r w:rsidRPr="00C34746">
        <w:rPr>
          <w:b/>
          <w:bCs/>
          <w:i/>
          <w:sz w:val="24"/>
          <w:lang w:val="hr-HR"/>
        </w:rPr>
        <w:t>Materijalni rashodi</w:t>
      </w:r>
    </w:p>
    <w:p w:rsidR="00F22D55" w:rsidRPr="00C34746" w:rsidRDefault="00F22D55" w:rsidP="00F22D55">
      <w:pPr>
        <w:jc w:val="both"/>
        <w:rPr>
          <w:rFonts w:ascii="Calibri" w:hAnsi="Calibri"/>
          <w:lang w:val="hr-HR"/>
        </w:rPr>
      </w:pPr>
      <w:r w:rsidRPr="00C34746">
        <w:rPr>
          <w:rFonts w:ascii="Calibri" w:hAnsi="Calibri"/>
          <w:lang w:val="hr-HR"/>
        </w:rPr>
        <w:t>Ukupni materijalni rashodi u 202</w:t>
      </w:r>
      <w:r>
        <w:rPr>
          <w:rFonts w:ascii="Calibri" w:hAnsi="Calibri"/>
          <w:lang w:val="hr-HR"/>
        </w:rPr>
        <w:t>2</w:t>
      </w:r>
      <w:r w:rsidRPr="00C34746">
        <w:rPr>
          <w:rFonts w:ascii="Calibri" w:hAnsi="Calibri"/>
          <w:lang w:val="hr-HR"/>
        </w:rPr>
        <w:t xml:space="preserve">. godini planiraju se u iznosu od </w:t>
      </w:r>
      <w:r>
        <w:rPr>
          <w:rFonts w:ascii="Calibri" w:hAnsi="Calibri"/>
          <w:lang w:val="hr-HR"/>
        </w:rPr>
        <w:t>18,0</w:t>
      </w:r>
      <w:r w:rsidRPr="00C34746">
        <w:rPr>
          <w:rFonts w:ascii="Calibri" w:hAnsi="Calibri"/>
          <w:lang w:val="hr-HR"/>
        </w:rPr>
        <w:t xml:space="preserve"> milijardi kuna. </w:t>
      </w:r>
    </w:p>
    <w:p w:rsidR="00F22D55" w:rsidRPr="00C34746" w:rsidRDefault="00F22D55" w:rsidP="00F22D55">
      <w:pPr>
        <w:jc w:val="both"/>
        <w:rPr>
          <w:rFonts w:ascii="Calibri" w:hAnsi="Calibri"/>
          <w:lang w:val="hr-HR"/>
        </w:rPr>
      </w:pPr>
      <w:r w:rsidRPr="00C34746">
        <w:rPr>
          <w:rFonts w:ascii="Calibri" w:hAnsi="Calibri"/>
          <w:lang w:val="hr-HR"/>
        </w:rPr>
        <w:t xml:space="preserve">Materijalni rashodi koji se financiraju iz općih prihoda i primitaka, doprinosa i namjenskih primitaka iznose </w:t>
      </w:r>
      <w:r>
        <w:rPr>
          <w:rFonts w:ascii="Calibri" w:hAnsi="Calibri"/>
          <w:lang w:val="hr-HR"/>
        </w:rPr>
        <w:t>8</w:t>
      </w:r>
      <w:r w:rsidRPr="00C34746">
        <w:rPr>
          <w:rFonts w:ascii="Calibri" w:hAnsi="Calibri"/>
          <w:lang w:val="hr-HR"/>
        </w:rPr>
        <w:t>,5 milijardi kuna i rastu u odn</w:t>
      </w:r>
      <w:r>
        <w:rPr>
          <w:rFonts w:ascii="Calibri" w:hAnsi="Calibri"/>
          <w:lang w:val="hr-HR"/>
        </w:rPr>
        <w:t>osu na tekući plan 2021. godine za 599,2</w:t>
      </w:r>
      <w:r w:rsidRPr="00C34746">
        <w:rPr>
          <w:rFonts w:ascii="Calibri" w:hAnsi="Calibri"/>
          <w:lang w:val="hr-HR"/>
        </w:rPr>
        <w:t xml:space="preserve"> milijuna kuna prvenstveno zbog sanacije šteta uzrokovanih potresom. Materijalni rashodi koji se financiraju iz EU i ostalih izvora financiranja projicira</w:t>
      </w:r>
      <w:r>
        <w:rPr>
          <w:rFonts w:ascii="Calibri" w:hAnsi="Calibri"/>
          <w:lang w:val="hr-HR"/>
        </w:rPr>
        <w:t>ni su na razini od 9,6 milijardi</w:t>
      </w:r>
      <w:r w:rsidRPr="00C34746">
        <w:rPr>
          <w:rFonts w:ascii="Calibri" w:hAnsi="Calibri"/>
          <w:lang w:val="hr-HR"/>
        </w:rPr>
        <w:t xml:space="preserve"> kuna i </w:t>
      </w:r>
      <w:r>
        <w:rPr>
          <w:rFonts w:ascii="Calibri" w:hAnsi="Calibri"/>
          <w:lang w:val="hr-HR"/>
        </w:rPr>
        <w:t>smanjuju</w:t>
      </w:r>
      <w:r w:rsidRPr="00C34746">
        <w:rPr>
          <w:rFonts w:ascii="Calibri" w:hAnsi="Calibri"/>
          <w:lang w:val="hr-HR"/>
        </w:rPr>
        <w:t xml:space="preserve"> se za </w:t>
      </w:r>
      <w:r>
        <w:rPr>
          <w:rFonts w:ascii="Calibri" w:hAnsi="Calibri"/>
          <w:lang w:val="hr-HR"/>
        </w:rPr>
        <w:t>82,9</w:t>
      </w:r>
      <w:r w:rsidRPr="00C34746">
        <w:rPr>
          <w:rFonts w:ascii="Calibri" w:hAnsi="Calibri"/>
          <w:lang w:val="hr-HR"/>
        </w:rPr>
        <w:t xml:space="preserve"> </w:t>
      </w:r>
      <w:r>
        <w:rPr>
          <w:rFonts w:ascii="Calibri" w:hAnsi="Calibri"/>
          <w:lang w:val="hr-HR"/>
        </w:rPr>
        <w:t>milijuna</w:t>
      </w:r>
      <w:r w:rsidRPr="00C34746">
        <w:rPr>
          <w:rFonts w:ascii="Calibri" w:hAnsi="Calibri"/>
          <w:lang w:val="hr-HR"/>
        </w:rPr>
        <w:t xml:space="preserve"> kuna.</w:t>
      </w:r>
    </w:p>
    <w:p w:rsidR="00F22D55" w:rsidRDefault="00F22D55" w:rsidP="00F22D55">
      <w:pPr>
        <w:jc w:val="both"/>
        <w:rPr>
          <w:rFonts w:ascii="Calibri" w:hAnsi="Calibri"/>
          <w:lang w:val="hr-HR"/>
        </w:rPr>
      </w:pPr>
      <w:r>
        <w:rPr>
          <w:rFonts w:ascii="Calibri" w:hAnsi="Calibri"/>
          <w:lang w:val="hr-HR"/>
        </w:rPr>
        <w:t>U 2023</w:t>
      </w:r>
      <w:r w:rsidRPr="00C34746">
        <w:rPr>
          <w:rFonts w:ascii="Calibri" w:hAnsi="Calibri"/>
          <w:lang w:val="hr-HR"/>
        </w:rPr>
        <w:t xml:space="preserve">. ukupni materijalni rashodi projicirani su na razini od </w:t>
      </w:r>
      <w:r>
        <w:rPr>
          <w:rFonts w:ascii="Calibri" w:hAnsi="Calibri"/>
          <w:lang w:val="hr-HR"/>
        </w:rPr>
        <w:t>17,6</w:t>
      </w:r>
      <w:r w:rsidRPr="00C34746">
        <w:rPr>
          <w:rFonts w:ascii="Calibri" w:hAnsi="Calibri"/>
          <w:lang w:val="hr-HR"/>
        </w:rPr>
        <w:t xml:space="preserve"> milijardi kuna, a u 202</w:t>
      </w:r>
      <w:r>
        <w:rPr>
          <w:rFonts w:ascii="Calibri" w:hAnsi="Calibri"/>
          <w:lang w:val="hr-HR"/>
        </w:rPr>
        <w:t>4</w:t>
      </w:r>
      <w:r w:rsidRPr="00C34746">
        <w:rPr>
          <w:rFonts w:ascii="Calibri" w:hAnsi="Calibri"/>
          <w:lang w:val="hr-HR"/>
        </w:rPr>
        <w:t xml:space="preserve">. godini na razini od </w:t>
      </w:r>
      <w:r>
        <w:rPr>
          <w:rFonts w:ascii="Calibri" w:hAnsi="Calibri"/>
          <w:lang w:val="hr-HR"/>
        </w:rPr>
        <w:t>18,2</w:t>
      </w:r>
      <w:r w:rsidRPr="00C34746">
        <w:rPr>
          <w:rFonts w:ascii="Calibri" w:hAnsi="Calibri"/>
          <w:lang w:val="hr-HR"/>
        </w:rPr>
        <w:t xml:space="preserve"> milijarde </w:t>
      </w:r>
      <w:r w:rsidRPr="002A0366">
        <w:rPr>
          <w:rFonts w:ascii="Calibri" w:hAnsi="Calibri"/>
          <w:lang w:val="hr-HR"/>
        </w:rPr>
        <w:t>kuna, ponajviše pod utjecajem dinamike financiranja saniranja šteta od potresa.</w:t>
      </w:r>
      <w:r w:rsidRPr="00C34746">
        <w:rPr>
          <w:rFonts w:ascii="Calibri" w:hAnsi="Calibri"/>
          <w:lang w:val="hr-HR"/>
        </w:rPr>
        <w:t xml:space="preserve"> </w:t>
      </w:r>
    </w:p>
    <w:p w:rsidR="00F22D55" w:rsidRDefault="00F22D55" w:rsidP="00F22D55">
      <w:pPr>
        <w:jc w:val="both"/>
        <w:rPr>
          <w:rFonts w:ascii="Calibri" w:hAnsi="Calibri"/>
          <w:lang w:val="hr-HR"/>
        </w:rPr>
      </w:pPr>
    </w:p>
    <w:p w:rsidR="00F22D55" w:rsidRPr="00C34746" w:rsidRDefault="00F22D55" w:rsidP="00F22D55">
      <w:pPr>
        <w:jc w:val="both"/>
        <w:rPr>
          <w:rFonts w:ascii="Calibri" w:hAnsi="Calibri"/>
          <w:lang w:val="hr-HR"/>
        </w:rPr>
      </w:pPr>
    </w:p>
    <w:p w:rsidR="006702E8" w:rsidRDefault="006702E8" w:rsidP="00F22D55">
      <w:pPr>
        <w:tabs>
          <w:tab w:val="left" w:pos="0"/>
        </w:tabs>
        <w:jc w:val="both"/>
        <w:rPr>
          <w:b/>
          <w:bCs/>
          <w:i/>
          <w:sz w:val="24"/>
          <w:lang w:val="hr-HR"/>
        </w:rPr>
      </w:pPr>
    </w:p>
    <w:p w:rsidR="00F22D55" w:rsidRPr="00C34746" w:rsidRDefault="00F22D55" w:rsidP="00F22D55">
      <w:pPr>
        <w:tabs>
          <w:tab w:val="left" w:pos="0"/>
        </w:tabs>
        <w:jc w:val="both"/>
        <w:rPr>
          <w:b/>
          <w:bCs/>
          <w:i/>
          <w:sz w:val="24"/>
          <w:lang w:val="hr-HR"/>
        </w:rPr>
      </w:pPr>
      <w:r w:rsidRPr="00C34746">
        <w:rPr>
          <w:b/>
          <w:bCs/>
          <w:i/>
          <w:sz w:val="24"/>
          <w:lang w:val="hr-HR"/>
        </w:rPr>
        <w:lastRenderedPageBreak/>
        <w:t>Financijski rashodi</w:t>
      </w:r>
    </w:p>
    <w:p w:rsidR="00F22D55" w:rsidRPr="00C34746" w:rsidRDefault="00F22D55" w:rsidP="00F22D55">
      <w:pPr>
        <w:jc w:val="both"/>
        <w:rPr>
          <w:rFonts w:ascii="Calibri" w:hAnsi="Calibri"/>
          <w:lang w:val="hr-HR"/>
        </w:rPr>
      </w:pPr>
      <w:r w:rsidRPr="00C34746">
        <w:rPr>
          <w:rFonts w:ascii="Calibri" w:hAnsi="Calibri"/>
          <w:lang w:val="hr-HR"/>
        </w:rPr>
        <w:t xml:space="preserve">Financijski rashodi, koje čine kamate za izdane vrijednosne papire, kamate za primljene zajmove i ostali financijski rashodi, projicirani su u skladu sa stanjem uvjeta na financijskim tržištima, odnosno troškovima servisiranja javnog duga. </w:t>
      </w:r>
    </w:p>
    <w:p w:rsidR="00F22D55" w:rsidRDefault="00F22D55" w:rsidP="00F22D55">
      <w:pPr>
        <w:jc w:val="both"/>
        <w:rPr>
          <w:rFonts w:ascii="Calibri" w:hAnsi="Calibri"/>
          <w:lang w:val="hr-HR"/>
        </w:rPr>
      </w:pPr>
      <w:r w:rsidRPr="00C34746">
        <w:rPr>
          <w:rFonts w:ascii="Calibri" w:hAnsi="Calibri"/>
          <w:lang w:val="hr-HR"/>
        </w:rPr>
        <w:t>Ovi rashodi u 202</w:t>
      </w:r>
      <w:r>
        <w:rPr>
          <w:rFonts w:ascii="Calibri" w:hAnsi="Calibri"/>
          <w:lang w:val="hr-HR"/>
        </w:rPr>
        <w:t>2</w:t>
      </w:r>
      <w:r w:rsidRPr="00C34746">
        <w:rPr>
          <w:rFonts w:ascii="Calibri" w:hAnsi="Calibri"/>
          <w:lang w:val="hr-HR"/>
        </w:rPr>
        <w:t>. godini</w:t>
      </w:r>
      <w:r>
        <w:rPr>
          <w:rFonts w:ascii="Calibri" w:hAnsi="Calibri"/>
          <w:lang w:val="hr-HR"/>
        </w:rPr>
        <w:t xml:space="preserve"> projicirani su na razini od 7,5</w:t>
      </w:r>
      <w:r w:rsidRPr="00C34746">
        <w:rPr>
          <w:rFonts w:ascii="Calibri" w:hAnsi="Calibri"/>
          <w:lang w:val="hr-HR"/>
        </w:rPr>
        <w:t xml:space="preserve"> milijardi kuna, u 202</w:t>
      </w:r>
      <w:r>
        <w:rPr>
          <w:rFonts w:ascii="Calibri" w:hAnsi="Calibri"/>
          <w:lang w:val="hr-HR"/>
        </w:rPr>
        <w:t>3</w:t>
      </w:r>
      <w:r w:rsidRPr="00C34746">
        <w:rPr>
          <w:rFonts w:ascii="Calibri" w:hAnsi="Calibri"/>
          <w:lang w:val="hr-HR"/>
        </w:rPr>
        <w:t xml:space="preserve">. na razini od </w:t>
      </w:r>
      <w:r>
        <w:rPr>
          <w:rFonts w:ascii="Calibri" w:hAnsi="Calibri"/>
          <w:lang w:val="hr-HR"/>
        </w:rPr>
        <w:t>6,5 milijardi</w:t>
      </w:r>
      <w:r w:rsidRPr="00C34746">
        <w:rPr>
          <w:rFonts w:ascii="Calibri" w:hAnsi="Calibri"/>
          <w:lang w:val="hr-HR"/>
        </w:rPr>
        <w:t xml:space="preserve"> kuna, a u 202</w:t>
      </w:r>
      <w:r>
        <w:rPr>
          <w:rFonts w:ascii="Calibri" w:hAnsi="Calibri"/>
          <w:lang w:val="hr-HR"/>
        </w:rPr>
        <w:t>4</w:t>
      </w:r>
      <w:r w:rsidRPr="00C34746">
        <w:rPr>
          <w:rFonts w:ascii="Calibri" w:hAnsi="Calibri"/>
          <w:lang w:val="hr-HR"/>
        </w:rPr>
        <w:t xml:space="preserve">. godini u iznosu od </w:t>
      </w:r>
      <w:r>
        <w:rPr>
          <w:rFonts w:ascii="Calibri" w:hAnsi="Calibri"/>
          <w:lang w:val="hr-HR"/>
        </w:rPr>
        <w:t>5,8</w:t>
      </w:r>
      <w:r w:rsidRPr="00C34746">
        <w:rPr>
          <w:rFonts w:ascii="Calibri" w:hAnsi="Calibri"/>
          <w:lang w:val="hr-HR"/>
        </w:rPr>
        <w:t xml:space="preserve"> milijard</w:t>
      </w:r>
      <w:r>
        <w:rPr>
          <w:rFonts w:ascii="Calibri" w:hAnsi="Calibri"/>
          <w:lang w:val="hr-HR"/>
        </w:rPr>
        <w:t>i</w:t>
      </w:r>
      <w:r w:rsidRPr="00C34746">
        <w:rPr>
          <w:rFonts w:ascii="Calibri" w:hAnsi="Calibri"/>
          <w:lang w:val="hr-HR"/>
        </w:rPr>
        <w:t xml:space="preserve"> kuna. </w:t>
      </w:r>
    </w:p>
    <w:p w:rsidR="00F22D55" w:rsidRPr="00C34746" w:rsidRDefault="00F22D55" w:rsidP="00F22D55">
      <w:pPr>
        <w:jc w:val="both"/>
        <w:rPr>
          <w:rFonts w:ascii="Calibri" w:hAnsi="Calibri"/>
          <w:lang w:val="hr-HR"/>
        </w:rPr>
      </w:pPr>
    </w:p>
    <w:p w:rsidR="00F22D55" w:rsidRPr="00C34746" w:rsidRDefault="00F22D55" w:rsidP="00F22D55">
      <w:pPr>
        <w:tabs>
          <w:tab w:val="left" w:pos="0"/>
        </w:tabs>
        <w:jc w:val="both"/>
        <w:rPr>
          <w:b/>
          <w:bCs/>
          <w:i/>
          <w:sz w:val="24"/>
          <w:lang w:val="hr-HR"/>
        </w:rPr>
      </w:pPr>
      <w:r w:rsidRPr="00C34746">
        <w:rPr>
          <w:b/>
          <w:bCs/>
          <w:i/>
          <w:sz w:val="24"/>
          <w:lang w:val="hr-HR"/>
        </w:rPr>
        <w:t>Subvencije</w:t>
      </w:r>
    </w:p>
    <w:p w:rsidR="00F22D55" w:rsidRDefault="00F22D55" w:rsidP="00F22D55">
      <w:pPr>
        <w:jc w:val="both"/>
        <w:rPr>
          <w:rFonts w:ascii="Calibri" w:hAnsi="Calibri"/>
          <w:lang w:val="hr-HR"/>
        </w:rPr>
      </w:pPr>
      <w:r>
        <w:rPr>
          <w:rFonts w:ascii="Calibri" w:hAnsi="Calibri"/>
          <w:lang w:val="hr-HR"/>
        </w:rPr>
        <w:t>Rashodi za subvencije u 2022</w:t>
      </w:r>
      <w:r w:rsidRPr="00C34746">
        <w:rPr>
          <w:rFonts w:ascii="Calibri" w:hAnsi="Calibri"/>
          <w:lang w:val="hr-HR"/>
        </w:rPr>
        <w:t xml:space="preserve">. planiraju se u iznosu od </w:t>
      </w:r>
      <w:r>
        <w:rPr>
          <w:rFonts w:ascii="Calibri" w:hAnsi="Calibri"/>
          <w:lang w:val="hr-HR"/>
        </w:rPr>
        <w:t>7,3</w:t>
      </w:r>
      <w:r w:rsidRPr="00C34746">
        <w:rPr>
          <w:rFonts w:ascii="Calibri" w:hAnsi="Calibri"/>
          <w:lang w:val="hr-HR"/>
        </w:rPr>
        <w:t xml:space="preserve"> milijardi kuna</w:t>
      </w:r>
      <w:r>
        <w:rPr>
          <w:rFonts w:ascii="Calibri" w:hAnsi="Calibri"/>
          <w:lang w:val="hr-HR"/>
        </w:rPr>
        <w:t>,</w:t>
      </w:r>
      <w:r w:rsidRPr="00C34746">
        <w:rPr>
          <w:rFonts w:ascii="Calibri" w:hAnsi="Calibri"/>
          <w:lang w:val="hr-HR"/>
        </w:rPr>
        <w:t xml:space="preserve"> što predstavlja smanjenje u iznosu od </w:t>
      </w:r>
      <w:r>
        <w:rPr>
          <w:rFonts w:ascii="Calibri" w:hAnsi="Calibri"/>
          <w:lang w:val="hr-HR"/>
        </w:rPr>
        <w:t>4,2 milijarde</w:t>
      </w:r>
      <w:r w:rsidRPr="00C34746">
        <w:rPr>
          <w:rFonts w:ascii="Calibri" w:hAnsi="Calibri"/>
          <w:lang w:val="hr-HR"/>
        </w:rPr>
        <w:t xml:space="preserve"> k</w:t>
      </w:r>
      <w:r>
        <w:rPr>
          <w:rFonts w:ascii="Calibri" w:hAnsi="Calibri"/>
          <w:lang w:val="hr-HR"/>
        </w:rPr>
        <w:t>una u odnosu na tekući plan 2021</w:t>
      </w:r>
      <w:r w:rsidRPr="00C34746">
        <w:rPr>
          <w:rFonts w:ascii="Calibri" w:hAnsi="Calibri"/>
          <w:lang w:val="hr-HR"/>
        </w:rPr>
        <w:t>. godine. U 202</w:t>
      </w:r>
      <w:r>
        <w:rPr>
          <w:rFonts w:ascii="Calibri" w:hAnsi="Calibri"/>
          <w:lang w:val="hr-HR"/>
        </w:rPr>
        <w:t>3</w:t>
      </w:r>
      <w:r w:rsidRPr="00C34746">
        <w:rPr>
          <w:rFonts w:ascii="Calibri" w:hAnsi="Calibri"/>
          <w:lang w:val="hr-HR"/>
        </w:rPr>
        <w:t xml:space="preserve">. ovi rashodi planirani su na razini od </w:t>
      </w:r>
      <w:r>
        <w:rPr>
          <w:rFonts w:ascii="Calibri" w:hAnsi="Calibri"/>
          <w:lang w:val="hr-HR"/>
        </w:rPr>
        <w:t>6,7 milijardi kuna, a u 2024</w:t>
      </w:r>
      <w:r w:rsidRPr="00C34746">
        <w:rPr>
          <w:rFonts w:ascii="Calibri" w:hAnsi="Calibri"/>
          <w:lang w:val="hr-HR"/>
        </w:rPr>
        <w:t xml:space="preserve">. godini na razini od </w:t>
      </w:r>
      <w:r>
        <w:rPr>
          <w:rFonts w:ascii="Calibri" w:hAnsi="Calibri"/>
          <w:lang w:val="hr-HR"/>
        </w:rPr>
        <w:t>6,4 milijarde</w:t>
      </w:r>
      <w:r w:rsidRPr="00C34746">
        <w:rPr>
          <w:rFonts w:ascii="Calibri" w:hAnsi="Calibri"/>
          <w:lang w:val="hr-HR"/>
        </w:rPr>
        <w:t xml:space="preserve"> kuna. </w:t>
      </w:r>
      <w:r>
        <w:rPr>
          <w:rFonts w:ascii="Calibri" w:hAnsi="Calibri"/>
          <w:lang w:val="hr-HR"/>
        </w:rPr>
        <w:t>Ovakva kretanja</w:t>
      </w:r>
      <w:r w:rsidRPr="00C34746">
        <w:rPr>
          <w:rFonts w:ascii="Calibri" w:hAnsi="Calibri"/>
          <w:lang w:val="hr-HR"/>
        </w:rPr>
        <w:t xml:space="preserve"> najvećim dijelom rezultat su smanjenih izdvajanja za mjere saniranja posljedica epidemije </w:t>
      </w:r>
      <w:proofErr w:type="spellStart"/>
      <w:r w:rsidRPr="00C34746">
        <w:rPr>
          <w:rFonts w:ascii="Calibri" w:hAnsi="Calibri"/>
          <w:lang w:val="hr-HR"/>
        </w:rPr>
        <w:t>koronavirusa</w:t>
      </w:r>
      <w:proofErr w:type="spellEnd"/>
      <w:r w:rsidRPr="00C34746">
        <w:rPr>
          <w:rFonts w:ascii="Calibri" w:hAnsi="Calibri"/>
          <w:lang w:val="hr-HR"/>
        </w:rPr>
        <w:t xml:space="preserve"> (COVID-19).</w:t>
      </w:r>
    </w:p>
    <w:p w:rsidR="00F22D55" w:rsidRDefault="00F22D55" w:rsidP="00F22D55">
      <w:pPr>
        <w:jc w:val="both"/>
        <w:rPr>
          <w:b/>
          <w:bCs/>
          <w:i/>
          <w:sz w:val="24"/>
          <w:lang w:val="hr-HR"/>
        </w:rPr>
      </w:pPr>
    </w:p>
    <w:p w:rsidR="00F22D55" w:rsidRPr="00C34746" w:rsidRDefault="00F22D55" w:rsidP="00F22D55">
      <w:pPr>
        <w:tabs>
          <w:tab w:val="left" w:pos="0"/>
        </w:tabs>
        <w:jc w:val="both"/>
        <w:rPr>
          <w:b/>
          <w:bCs/>
          <w:i/>
          <w:sz w:val="24"/>
          <w:lang w:val="hr-HR"/>
        </w:rPr>
      </w:pPr>
      <w:r w:rsidRPr="00C34746">
        <w:rPr>
          <w:b/>
          <w:bCs/>
          <w:i/>
          <w:sz w:val="24"/>
          <w:lang w:val="hr-HR"/>
        </w:rPr>
        <w:t>Pomoći dane u inozemstvo i unutar općeg proračuna</w:t>
      </w:r>
    </w:p>
    <w:p w:rsidR="00F22D55" w:rsidRPr="00C34746" w:rsidRDefault="00F22D55" w:rsidP="00F22D55">
      <w:pPr>
        <w:jc w:val="both"/>
        <w:rPr>
          <w:rFonts w:ascii="Calibri" w:hAnsi="Calibri"/>
          <w:lang w:val="hr-HR"/>
        </w:rPr>
      </w:pPr>
      <w:r w:rsidRPr="00C34746">
        <w:rPr>
          <w:rFonts w:ascii="Calibri" w:hAnsi="Calibri"/>
          <w:lang w:val="hr-HR"/>
        </w:rPr>
        <w:t>Rashodi za pomoći državnog proračuna dane u inozemstvo i unutar opće države u 202</w:t>
      </w:r>
      <w:r>
        <w:rPr>
          <w:rFonts w:ascii="Calibri" w:hAnsi="Calibri"/>
          <w:lang w:val="hr-HR"/>
        </w:rPr>
        <w:t>2</w:t>
      </w:r>
      <w:r w:rsidRPr="00C34746">
        <w:rPr>
          <w:rFonts w:ascii="Calibri" w:hAnsi="Calibri"/>
          <w:lang w:val="hr-HR"/>
        </w:rPr>
        <w:t xml:space="preserve">. godini predviđeni su u iznosu od </w:t>
      </w:r>
      <w:r>
        <w:rPr>
          <w:rFonts w:ascii="Calibri" w:hAnsi="Calibri"/>
          <w:lang w:val="hr-HR"/>
        </w:rPr>
        <w:t>37,8</w:t>
      </w:r>
      <w:r w:rsidRPr="00C34746">
        <w:rPr>
          <w:rFonts w:ascii="Calibri" w:hAnsi="Calibri"/>
          <w:lang w:val="hr-HR"/>
        </w:rPr>
        <w:t xml:space="preserve"> milijardi kuna. U odnosu na tekući plan 202</w:t>
      </w:r>
      <w:r>
        <w:rPr>
          <w:rFonts w:ascii="Calibri" w:hAnsi="Calibri"/>
          <w:lang w:val="hr-HR"/>
        </w:rPr>
        <w:t>1</w:t>
      </w:r>
      <w:r w:rsidRPr="00C34746">
        <w:rPr>
          <w:rFonts w:ascii="Calibri" w:hAnsi="Calibri"/>
          <w:lang w:val="hr-HR"/>
        </w:rPr>
        <w:t xml:space="preserve">. ova kategorija rashoda bilježi </w:t>
      </w:r>
      <w:r>
        <w:rPr>
          <w:rFonts w:ascii="Calibri" w:hAnsi="Calibri"/>
          <w:lang w:val="hr-HR"/>
        </w:rPr>
        <w:t>smanjenje</w:t>
      </w:r>
      <w:r w:rsidRPr="00C34746">
        <w:rPr>
          <w:rFonts w:ascii="Calibri" w:hAnsi="Calibri"/>
          <w:lang w:val="hr-HR"/>
        </w:rPr>
        <w:t xml:space="preserve"> od </w:t>
      </w:r>
      <w:r>
        <w:rPr>
          <w:rFonts w:ascii="Calibri" w:hAnsi="Calibri"/>
          <w:lang w:val="hr-HR"/>
        </w:rPr>
        <w:t>714,0</w:t>
      </w:r>
      <w:r w:rsidRPr="00C34746">
        <w:rPr>
          <w:rFonts w:ascii="Calibri" w:hAnsi="Calibri"/>
          <w:lang w:val="hr-HR"/>
        </w:rPr>
        <w:t xml:space="preserve"> </w:t>
      </w:r>
      <w:r>
        <w:rPr>
          <w:rFonts w:ascii="Calibri" w:hAnsi="Calibri"/>
          <w:lang w:val="hr-HR"/>
        </w:rPr>
        <w:t>milijuna</w:t>
      </w:r>
      <w:r w:rsidRPr="00C34746">
        <w:rPr>
          <w:rFonts w:ascii="Calibri" w:hAnsi="Calibri"/>
          <w:lang w:val="hr-HR"/>
        </w:rPr>
        <w:t xml:space="preserve"> kuna. </w:t>
      </w:r>
    </w:p>
    <w:p w:rsidR="004E1F75" w:rsidRDefault="00F22D55" w:rsidP="00F22D55">
      <w:pPr>
        <w:jc w:val="both"/>
        <w:rPr>
          <w:rFonts w:ascii="Calibri" w:hAnsi="Calibri"/>
          <w:lang w:val="hr-HR"/>
        </w:rPr>
      </w:pPr>
      <w:r w:rsidRPr="00C34746">
        <w:rPr>
          <w:rFonts w:ascii="Calibri" w:hAnsi="Calibri"/>
          <w:lang w:val="hr-HR"/>
        </w:rPr>
        <w:t>Pomoći koje se financiraju iz općih prihoda i primitaka, doprino</w:t>
      </w:r>
      <w:r>
        <w:rPr>
          <w:rFonts w:ascii="Calibri" w:hAnsi="Calibri"/>
          <w:lang w:val="hr-HR"/>
        </w:rPr>
        <w:t>sa i namjenskih primitaka u 2022</w:t>
      </w:r>
      <w:r w:rsidRPr="00C34746">
        <w:rPr>
          <w:rFonts w:ascii="Calibri" w:hAnsi="Calibri"/>
          <w:lang w:val="hr-HR"/>
        </w:rPr>
        <w:t xml:space="preserve">. godini planiraju se u iznosu od </w:t>
      </w:r>
      <w:r>
        <w:rPr>
          <w:rFonts w:ascii="Calibri" w:hAnsi="Calibri"/>
          <w:lang w:val="hr-HR"/>
        </w:rPr>
        <w:t>28,6</w:t>
      </w:r>
      <w:r w:rsidRPr="00C34746">
        <w:rPr>
          <w:rFonts w:ascii="Calibri" w:hAnsi="Calibri"/>
          <w:lang w:val="hr-HR"/>
        </w:rPr>
        <w:t xml:space="preserve"> milijardi kuna</w:t>
      </w:r>
      <w:r>
        <w:rPr>
          <w:rFonts w:ascii="Calibri" w:hAnsi="Calibri"/>
          <w:lang w:val="hr-HR"/>
        </w:rPr>
        <w:t>,</w:t>
      </w:r>
      <w:r w:rsidRPr="00C34746">
        <w:rPr>
          <w:rFonts w:ascii="Calibri" w:hAnsi="Calibri"/>
          <w:lang w:val="hr-HR"/>
        </w:rPr>
        <w:t xml:space="preserve"> što je za </w:t>
      </w:r>
      <w:r>
        <w:rPr>
          <w:rFonts w:ascii="Calibri" w:hAnsi="Calibri"/>
          <w:lang w:val="hr-HR"/>
        </w:rPr>
        <w:t>2,5</w:t>
      </w:r>
      <w:r w:rsidRPr="00C34746">
        <w:rPr>
          <w:rFonts w:ascii="Calibri" w:hAnsi="Calibri"/>
          <w:lang w:val="hr-HR"/>
        </w:rPr>
        <w:t xml:space="preserve"> milijardi kuna </w:t>
      </w:r>
      <w:r>
        <w:rPr>
          <w:rFonts w:ascii="Calibri" w:hAnsi="Calibri"/>
          <w:lang w:val="hr-HR"/>
        </w:rPr>
        <w:t>manje u odnosu na tekući plan 2021</w:t>
      </w:r>
      <w:r w:rsidRPr="00C34746">
        <w:rPr>
          <w:rFonts w:ascii="Calibri" w:hAnsi="Calibri"/>
          <w:lang w:val="hr-HR"/>
        </w:rPr>
        <w:t>. godine</w:t>
      </w:r>
      <w:r>
        <w:rPr>
          <w:rFonts w:ascii="Calibri" w:hAnsi="Calibri"/>
          <w:lang w:val="hr-HR"/>
        </w:rPr>
        <w:t xml:space="preserve"> uslijed smanjenih izdvajanja za </w:t>
      </w:r>
      <w:r w:rsidRPr="00165518">
        <w:rPr>
          <w:rFonts w:ascii="Calibri" w:hAnsi="Calibri"/>
          <w:lang w:val="hr-HR"/>
        </w:rPr>
        <w:t>pokriće dugova zdravstvenog sustava</w:t>
      </w:r>
      <w:r w:rsidR="00F17D56">
        <w:rPr>
          <w:rFonts w:ascii="Calibri" w:hAnsi="Calibri"/>
          <w:lang w:val="hr-HR"/>
        </w:rPr>
        <w:t xml:space="preserve">, dok se porast </w:t>
      </w:r>
      <w:r w:rsidRPr="002E748D">
        <w:rPr>
          <w:rFonts w:ascii="Calibri" w:hAnsi="Calibri"/>
          <w:lang w:val="hr-HR"/>
        </w:rPr>
        <w:t xml:space="preserve">u okviru ove kategorije rashoda </w:t>
      </w:r>
      <w:r w:rsidR="00F17D56">
        <w:rPr>
          <w:rFonts w:ascii="Calibri" w:hAnsi="Calibri"/>
          <w:lang w:val="hr-HR"/>
        </w:rPr>
        <w:t xml:space="preserve">planira </w:t>
      </w:r>
      <w:r w:rsidR="004E1F75">
        <w:rPr>
          <w:rFonts w:ascii="Calibri" w:hAnsi="Calibri"/>
          <w:lang w:val="hr-HR"/>
        </w:rPr>
        <w:t xml:space="preserve">za </w:t>
      </w:r>
      <w:r w:rsidRPr="002E748D">
        <w:rPr>
          <w:rFonts w:ascii="Calibri" w:hAnsi="Calibri"/>
          <w:lang w:val="hr-HR"/>
        </w:rPr>
        <w:t>rashod</w:t>
      </w:r>
      <w:r w:rsidR="004E1F75">
        <w:rPr>
          <w:rFonts w:ascii="Calibri" w:hAnsi="Calibri"/>
          <w:lang w:val="hr-HR"/>
        </w:rPr>
        <w:t>e</w:t>
      </w:r>
      <w:r w:rsidRPr="002E748D">
        <w:rPr>
          <w:rFonts w:ascii="Calibri" w:hAnsi="Calibri"/>
          <w:lang w:val="hr-HR"/>
        </w:rPr>
        <w:t xml:space="preserve"> za zaposlene u osnovnom i srednjem školstvu</w:t>
      </w:r>
      <w:r w:rsidR="004E1F75">
        <w:rPr>
          <w:rFonts w:ascii="Calibri" w:hAnsi="Calibri"/>
          <w:lang w:val="hr-HR"/>
        </w:rPr>
        <w:t xml:space="preserve"> i za plaćanja po pravomoćnim sudskim presudama.</w:t>
      </w:r>
    </w:p>
    <w:p w:rsidR="00F22D55" w:rsidRPr="00C34746" w:rsidRDefault="00F22D55" w:rsidP="00F22D55">
      <w:pPr>
        <w:jc w:val="both"/>
        <w:rPr>
          <w:rFonts w:ascii="Calibri" w:hAnsi="Calibri"/>
          <w:lang w:val="hr-HR"/>
        </w:rPr>
      </w:pPr>
      <w:r w:rsidRPr="00C34746">
        <w:rPr>
          <w:rFonts w:ascii="Calibri" w:hAnsi="Calibri"/>
          <w:lang w:val="hr-HR"/>
        </w:rPr>
        <w:t>Pomoći koje se financiraju iz EU i ostalih izv</w:t>
      </w:r>
      <w:r>
        <w:rPr>
          <w:rFonts w:ascii="Calibri" w:hAnsi="Calibri"/>
          <w:lang w:val="hr-HR"/>
        </w:rPr>
        <w:t xml:space="preserve">ora financiranja u 2022. </w:t>
      </w:r>
      <w:r w:rsidRPr="00C34746">
        <w:rPr>
          <w:rFonts w:ascii="Calibri" w:hAnsi="Calibri"/>
          <w:lang w:val="hr-HR"/>
        </w:rPr>
        <w:t xml:space="preserve">planirane su na razini od </w:t>
      </w:r>
      <w:r>
        <w:rPr>
          <w:rFonts w:ascii="Calibri" w:hAnsi="Calibri"/>
          <w:lang w:val="hr-HR"/>
        </w:rPr>
        <w:t>9,2 milijarde</w:t>
      </w:r>
      <w:r w:rsidRPr="00C34746">
        <w:rPr>
          <w:rFonts w:ascii="Calibri" w:hAnsi="Calibri"/>
          <w:lang w:val="hr-HR"/>
        </w:rPr>
        <w:t xml:space="preserve"> kuna te se povećavaju </w:t>
      </w:r>
      <w:r>
        <w:rPr>
          <w:rFonts w:ascii="Calibri" w:hAnsi="Calibri"/>
          <w:lang w:val="hr-HR"/>
        </w:rPr>
        <w:t>u iznosu od 1,8 milijardi</w:t>
      </w:r>
      <w:r w:rsidRPr="00C34746">
        <w:rPr>
          <w:rFonts w:ascii="Calibri" w:hAnsi="Calibri"/>
          <w:lang w:val="hr-HR"/>
        </w:rPr>
        <w:t xml:space="preserve"> kuna u odnosu na tekući plan 202</w:t>
      </w:r>
      <w:r>
        <w:rPr>
          <w:rFonts w:ascii="Calibri" w:hAnsi="Calibri"/>
          <w:lang w:val="hr-HR"/>
        </w:rPr>
        <w:t>1</w:t>
      </w:r>
      <w:r w:rsidRPr="00C34746">
        <w:rPr>
          <w:rFonts w:ascii="Calibri" w:hAnsi="Calibri"/>
          <w:lang w:val="hr-HR"/>
        </w:rPr>
        <w:t>. godine</w:t>
      </w:r>
      <w:r>
        <w:rPr>
          <w:rFonts w:ascii="Calibri" w:hAnsi="Calibri"/>
          <w:lang w:val="hr-HR"/>
        </w:rPr>
        <w:t>, prije svega</w:t>
      </w:r>
      <w:r w:rsidRPr="00C34746">
        <w:rPr>
          <w:rFonts w:ascii="Calibri" w:hAnsi="Calibri"/>
          <w:lang w:val="hr-HR"/>
        </w:rPr>
        <w:t xml:space="preserve"> zbog povećanja iskorištenosti sredstava EU dostupnih u okviru Operativnog programa konkurentnost i kohezija u nadležnosti Ministarstva gospodarstva i održivog razvoja i Ministarstva </w:t>
      </w:r>
      <w:r>
        <w:rPr>
          <w:rFonts w:ascii="Calibri" w:hAnsi="Calibri"/>
          <w:lang w:val="hr-HR"/>
        </w:rPr>
        <w:t>znanosti i obrazovanja</w:t>
      </w:r>
      <w:r w:rsidRPr="00C34746">
        <w:rPr>
          <w:rFonts w:ascii="Calibri" w:hAnsi="Calibri"/>
          <w:lang w:val="hr-HR"/>
        </w:rPr>
        <w:t>.</w:t>
      </w:r>
    </w:p>
    <w:p w:rsidR="00F22D55" w:rsidRDefault="00F22D55" w:rsidP="00F22D55">
      <w:pPr>
        <w:jc w:val="both"/>
        <w:rPr>
          <w:rFonts w:ascii="Calibri" w:hAnsi="Calibri"/>
          <w:lang w:val="hr-HR"/>
        </w:rPr>
      </w:pPr>
      <w:r w:rsidRPr="00C34746">
        <w:rPr>
          <w:rFonts w:ascii="Calibri" w:hAnsi="Calibri"/>
          <w:lang w:val="hr-HR"/>
        </w:rPr>
        <w:t>U 202</w:t>
      </w:r>
      <w:r>
        <w:rPr>
          <w:rFonts w:ascii="Calibri" w:hAnsi="Calibri"/>
          <w:lang w:val="hr-HR"/>
        </w:rPr>
        <w:t>3</w:t>
      </w:r>
      <w:r w:rsidRPr="00C34746">
        <w:rPr>
          <w:rFonts w:ascii="Calibri" w:hAnsi="Calibri"/>
          <w:lang w:val="hr-HR"/>
        </w:rPr>
        <w:t xml:space="preserve">. godini ukupne pomoći projicirane su na razini od </w:t>
      </w:r>
      <w:r>
        <w:rPr>
          <w:rFonts w:ascii="Calibri" w:hAnsi="Calibri"/>
          <w:lang w:val="hr-HR"/>
        </w:rPr>
        <w:t>39,8 milijardi kuna, a u 2024</w:t>
      </w:r>
      <w:r w:rsidRPr="00C34746">
        <w:rPr>
          <w:rFonts w:ascii="Calibri" w:hAnsi="Calibri"/>
          <w:lang w:val="hr-HR"/>
        </w:rPr>
        <w:t xml:space="preserve">. na razini od </w:t>
      </w:r>
      <w:r>
        <w:rPr>
          <w:rFonts w:ascii="Calibri" w:hAnsi="Calibri"/>
          <w:lang w:val="hr-HR"/>
        </w:rPr>
        <w:t>36,6</w:t>
      </w:r>
      <w:r w:rsidRPr="00C34746">
        <w:rPr>
          <w:rFonts w:ascii="Calibri" w:hAnsi="Calibri"/>
          <w:lang w:val="hr-HR"/>
        </w:rPr>
        <w:t xml:space="preserve"> milijardi kuna.</w:t>
      </w:r>
    </w:p>
    <w:p w:rsidR="00F22D55" w:rsidRPr="00C34746" w:rsidRDefault="00F22D55" w:rsidP="00F22D55">
      <w:pPr>
        <w:jc w:val="both"/>
        <w:rPr>
          <w:rFonts w:ascii="Calibri" w:hAnsi="Calibri"/>
          <w:lang w:val="hr-HR"/>
        </w:rPr>
      </w:pPr>
    </w:p>
    <w:p w:rsidR="00F22D55" w:rsidRPr="00C34746" w:rsidRDefault="00F22D55" w:rsidP="00F22D55">
      <w:pPr>
        <w:tabs>
          <w:tab w:val="left" w:pos="0"/>
        </w:tabs>
        <w:jc w:val="both"/>
        <w:rPr>
          <w:b/>
          <w:bCs/>
          <w:i/>
          <w:sz w:val="24"/>
          <w:lang w:val="hr-HR"/>
        </w:rPr>
      </w:pPr>
      <w:r w:rsidRPr="00C34746">
        <w:rPr>
          <w:b/>
          <w:bCs/>
          <w:i/>
          <w:sz w:val="24"/>
          <w:lang w:val="hr-HR"/>
        </w:rPr>
        <w:t xml:space="preserve">Naknade građanima i kućanstvima </w:t>
      </w:r>
    </w:p>
    <w:p w:rsidR="00F22D55" w:rsidRPr="00C34746" w:rsidRDefault="00F22D55" w:rsidP="00F22D55">
      <w:pPr>
        <w:jc w:val="both"/>
        <w:rPr>
          <w:rFonts w:ascii="Calibri" w:hAnsi="Calibri"/>
          <w:lang w:val="hr-HR"/>
        </w:rPr>
      </w:pPr>
      <w:r w:rsidRPr="00C34746">
        <w:rPr>
          <w:rFonts w:ascii="Calibri" w:hAnsi="Calibri"/>
          <w:lang w:val="hr-HR"/>
        </w:rPr>
        <w:t>Naknade građanima i kućanstvima čine i u 202</w:t>
      </w:r>
      <w:r>
        <w:rPr>
          <w:rFonts w:ascii="Calibri" w:hAnsi="Calibri"/>
          <w:lang w:val="hr-HR"/>
        </w:rPr>
        <w:t>2</w:t>
      </w:r>
      <w:r w:rsidRPr="00C34746">
        <w:rPr>
          <w:rFonts w:ascii="Calibri" w:hAnsi="Calibri"/>
          <w:lang w:val="hr-HR"/>
        </w:rPr>
        <w:t xml:space="preserve">. najznačajniju skupinu rashoda proračuna </w:t>
      </w:r>
      <w:r>
        <w:rPr>
          <w:rFonts w:ascii="Calibri" w:hAnsi="Calibri"/>
          <w:lang w:val="hr-HR"/>
        </w:rPr>
        <w:t>te se planiraju u iznosu od 52,8</w:t>
      </w:r>
      <w:r w:rsidRPr="00C34746">
        <w:rPr>
          <w:rFonts w:ascii="Calibri" w:hAnsi="Calibri"/>
          <w:lang w:val="hr-HR"/>
        </w:rPr>
        <w:t xml:space="preserve"> milijardi kuna.</w:t>
      </w:r>
      <w:r w:rsidRPr="00C34746">
        <w:t xml:space="preserve"> </w:t>
      </w:r>
      <w:r w:rsidRPr="00C34746">
        <w:rPr>
          <w:rFonts w:ascii="Calibri" w:hAnsi="Calibri"/>
          <w:lang w:val="hr-HR"/>
        </w:rPr>
        <w:t>U odnosu na tekući plan 202</w:t>
      </w:r>
      <w:r>
        <w:rPr>
          <w:rFonts w:ascii="Calibri" w:hAnsi="Calibri"/>
          <w:lang w:val="hr-HR"/>
        </w:rPr>
        <w:t>1</w:t>
      </w:r>
      <w:r w:rsidRPr="00C34746">
        <w:rPr>
          <w:rFonts w:ascii="Calibri" w:hAnsi="Calibri"/>
          <w:lang w:val="hr-HR"/>
        </w:rPr>
        <w:t xml:space="preserve">. ova kategorija rashoda bilježi rast od </w:t>
      </w:r>
      <w:r>
        <w:rPr>
          <w:rFonts w:ascii="Calibri" w:hAnsi="Calibri"/>
          <w:lang w:val="hr-HR"/>
        </w:rPr>
        <w:t>220,0 milijuna</w:t>
      </w:r>
      <w:r w:rsidRPr="00C34746">
        <w:rPr>
          <w:rFonts w:ascii="Calibri" w:hAnsi="Calibri"/>
          <w:lang w:val="hr-HR"/>
        </w:rPr>
        <w:t xml:space="preserve"> kuna.</w:t>
      </w:r>
    </w:p>
    <w:p w:rsidR="00F22D55" w:rsidRPr="00C34746" w:rsidRDefault="00F22D55" w:rsidP="00F22D55">
      <w:pPr>
        <w:jc w:val="both"/>
        <w:rPr>
          <w:rFonts w:ascii="Calibri" w:hAnsi="Calibri"/>
          <w:lang w:val="hr-HR"/>
        </w:rPr>
      </w:pPr>
      <w:r w:rsidRPr="00C34746">
        <w:rPr>
          <w:rFonts w:ascii="Calibri" w:hAnsi="Calibri"/>
          <w:lang w:val="hr-HR"/>
        </w:rPr>
        <w:lastRenderedPageBreak/>
        <w:t xml:space="preserve">Ovi rashodi uključuju povećana izdvajanja za mirovine koja su rezultat </w:t>
      </w:r>
      <w:proofErr w:type="spellStart"/>
      <w:r w:rsidRPr="00C34746">
        <w:rPr>
          <w:rFonts w:ascii="Calibri" w:hAnsi="Calibri"/>
          <w:lang w:val="hr-HR"/>
        </w:rPr>
        <w:t>indeksacije</w:t>
      </w:r>
      <w:proofErr w:type="spellEnd"/>
      <w:r w:rsidRPr="00C34746">
        <w:rPr>
          <w:rFonts w:ascii="Calibri" w:hAnsi="Calibri"/>
          <w:lang w:val="hr-HR"/>
        </w:rPr>
        <w:t xml:space="preserve"> po općim i posebnim propisima i očekivanog rasta broja korisnika. </w:t>
      </w:r>
    </w:p>
    <w:p w:rsidR="00F22D55" w:rsidRDefault="00F22D55" w:rsidP="00F22D55">
      <w:pPr>
        <w:jc w:val="both"/>
        <w:rPr>
          <w:rFonts w:ascii="Calibri" w:hAnsi="Calibri"/>
          <w:lang w:val="hr-HR"/>
        </w:rPr>
      </w:pPr>
      <w:r w:rsidRPr="00C34746">
        <w:rPr>
          <w:rFonts w:ascii="Calibri" w:hAnsi="Calibri"/>
          <w:lang w:val="hr-HR"/>
        </w:rPr>
        <w:t>U okviru ove kategorije rashoda planiraju se i sredstva za socijalne pomoći i naknade koja se u odnosu na tekući plan 202</w:t>
      </w:r>
      <w:r>
        <w:rPr>
          <w:rFonts w:ascii="Calibri" w:hAnsi="Calibri"/>
          <w:lang w:val="hr-HR"/>
        </w:rPr>
        <w:t>1</w:t>
      </w:r>
      <w:r w:rsidRPr="00C34746">
        <w:rPr>
          <w:rFonts w:ascii="Calibri" w:hAnsi="Calibri"/>
          <w:lang w:val="hr-HR"/>
        </w:rPr>
        <w:t xml:space="preserve">. godine povećavaju za </w:t>
      </w:r>
      <w:r>
        <w:rPr>
          <w:rFonts w:ascii="Calibri" w:hAnsi="Calibri"/>
          <w:lang w:val="hr-HR"/>
        </w:rPr>
        <w:t>456,0</w:t>
      </w:r>
      <w:r w:rsidRPr="00C34746">
        <w:rPr>
          <w:rFonts w:ascii="Calibri" w:hAnsi="Calibri"/>
          <w:lang w:val="hr-HR"/>
        </w:rPr>
        <w:t xml:space="preserve"> milijuna kuna. </w:t>
      </w:r>
      <w:r>
        <w:rPr>
          <w:rFonts w:ascii="Calibri" w:hAnsi="Calibri"/>
          <w:lang w:val="hr-HR"/>
        </w:rPr>
        <w:t>O</w:t>
      </w:r>
      <w:r w:rsidRPr="00C34746">
        <w:rPr>
          <w:rFonts w:ascii="Calibri" w:hAnsi="Calibri"/>
          <w:lang w:val="hr-HR"/>
        </w:rPr>
        <w:t>vo povećanje uključuje sredstva za primjenu</w:t>
      </w:r>
      <w:r>
        <w:rPr>
          <w:rFonts w:ascii="Calibri" w:hAnsi="Calibri"/>
          <w:lang w:val="hr-HR"/>
        </w:rPr>
        <w:t xml:space="preserve"> novog</w:t>
      </w:r>
      <w:r w:rsidRPr="00C34746">
        <w:rPr>
          <w:rFonts w:ascii="Calibri" w:hAnsi="Calibri"/>
          <w:lang w:val="hr-HR"/>
        </w:rPr>
        <w:t xml:space="preserve"> zakona o socijalnoj skrbi </w:t>
      </w:r>
      <w:r>
        <w:rPr>
          <w:rFonts w:ascii="Calibri" w:hAnsi="Calibri"/>
          <w:lang w:val="hr-HR"/>
        </w:rPr>
        <w:t xml:space="preserve">u iznosu od 300,0 milijuna kuna. </w:t>
      </w:r>
    </w:p>
    <w:p w:rsidR="00F22D55" w:rsidRDefault="00F22D55" w:rsidP="00F22D55">
      <w:pPr>
        <w:jc w:val="both"/>
        <w:rPr>
          <w:rFonts w:ascii="Calibri" w:hAnsi="Calibri"/>
          <w:lang w:val="hr-HR"/>
        </w:rPr>
      </w:pPr>
      <w:r w:rsidRPr="00C34746">
        <w:rPr>
          <w:rFonts w:ascii="Calibri" w:hAnsi="Calibri"/>
          <w:lang w:val="hr-HR"/>
        </w:rPr>
        <w:t>U 202</w:t>
      </w:r>
      <w:r>
        <w:rPr>
          <w:rFonts w:ascii="Calibri" w:hAnsi="Calibri"/>
          <w:lang w:val="hr-HR"/>
        </w:rPr>
        <w:t>3</w:t>
      </w:r>
      <w:r w:rsidRPr="00C34746">
        <w:rPr>
          <w:rFonts w:ascii="Calibri" w:hAnsi="Calibri"/>
          <w:lang w:val="hr-HR"/>
        </w:rPr>
        <w:t xml:space="preserve">. godini ovi rashodi projicirani su na razini od </w:t>
      </w:r>
      <w:r>
        <w:rPr>
          <w:rFonts w:ascii="Calibri" w:hAnsi="Calibri"/>
          <w:lang w:val="hr-HR"/>
        </w:rPr>
        <w:t>55,1</w:t>
      </w:r>
      <w:r w:rsidRPr="00C34746">
        <w:rPr>
          <w:rFonts w:ascii="Calibri" w:hAnsi="Calibri"/>
          <w:lang w:val="hr-HR"/>
        </w:rPr>
        <w:t xml:space="preserve"> milijard</w:t>
      </w:r>
      <w:r>
        <w:rPr>
          <w:rFonts w:ascii="Calibri" w:hAnsi="Calibri"/>
          <w:lang w:val="hr-HR"/>
        </w:rPr>
        <w:t>u kuna, dok se u 2024</w:t>
      </w:r>
      <w:r w:rsidRPr="00C34746">
        <w:rPr>
          <w:rFonts w:ascii="Calibri" w:hAnsi="Calibri"/>
          <w:lang w:val="hr-HR"/>
        </w:rPr>
        <w:t xml:space="preserve">. očekuju na razini od </w:t>
      </w:r>
      <w:r>
        <w:rPr>
          <w:rFonts w:ascii="Calibri" w:hAnsi="Calibri"/>
          <w:lang w:val="hr-HR"/>
        </w:rPr>
        <w:t>57,4</w:t>
      </w:r>
      <w:r w:rsidRPr="00C34746">
        <w:rPr>
          <w:rFonts w:ascii="Calibri" w:hAnsi="Calibri"/>
          <w:lang w:val="hr-HR"/>
        </w:rPr>
        <w:t xml:space="preserve"> milijardi kuna. </w:t>
      </w:r>
    </w:p>
    <w:p w:rsidR="00F22D55" w:rsidRPr="00C34746" w:rsidRDefault="00F22D55" w:rsidP="00F22D55">
      <w:pPr>
        <w:jc w:val="both"/>
        <w:rPr>
          <w:rFonts w:ascii="Calibri" w:hAnsi="Calibri"/>
          <w:lang w:val="hr-HR"/>
        </w:rPr>
      </w:pPr>
    </w:p>
    <w:p w:rsidR="00F22D55" w:rsidRPr="00C34746" w:rsidRDefault="00F22D55" w:rsidP="00F22D55">
      <w:pPr>
        <w:tabs>
          <w:tab w:val="left" w:pos="0"/>
        </w:tabs>
        <w:jc w:val="both"/>
        <w:rPr>
          <w:b/>
          <w:bCs/>
          <w:i/>
          <w:sz w:val="24"/>
          <w:lang w:val="hr-HR"/>
        </w:rPr>
      </w:pPr>
      <w:r w:rsidRPr="00C34746">
        <w:rPr>
          <w:b/>
          <w:bCs/>
          <w:i/>
          <w:sz w:val="24"/>
          <w:lang w:val="hr-HR"/>
        </w:rPr>
        <w:t>Ostali rashodi</w:t>
      </w:r>
    </w:p>
    <w:p w:rsidR="00F22D55" w:rsidRPr="00C34746" w:rsidRDefault="00F22D55" w:rsidP="00F22D55">
      <w:pPr>
        <w:jc w:val="both"/>
        <w:rPr>
          <w:rFonts w:ascii="Calibri" w:hAnsi="Calibri"/>
          <w:lang w:val="hr-HR"/>
        </w:rPr>
      </w:pPr>
      <w:r w:rsidRPr="00C34746">
        <w:rPr>
          <w:rFonts w:ascii="Calibri" w:hAnsi="Calibri"/>
          <w:lang w:val="hr-HR"/>
        </w:rPr>
        <w:t>Ostali rashodi, koji uključuju tekuće i kapitalne donacije, kazne, penale i naknade štete, izvanredne rashode i kapitalne pomoći, u 202</w:t>
      </w:r>
      <w:r>
        <w:rPr>
          <w:rFonts w:ascii="Calibri" w:hAnsi="Calibri"/>
          <w:lang w:val="hr-HR"/>
        </w:rPr>
        <w:t>2</w:t>
      </w:r>
      <w:r w:rsidRPr="00C34746">
        <w:rPr>
          <w:rFonts w:ascii="Calibri" w:hAnsi="Calibri"/>
          <w:lang w:val="hr-HR"/>
        </w:rPr>
        <w:t xml:space="preserve">. projicirani su u iznosu od </w:t>
      </w:r>
      <w:r>
        <w:rPr>
          <w:rFonts w:ascii="Calibri" w:hAnsi="Calibri"/>
          <w:lang w:val="hr-HR"/>
        </w:rPr>
        <w:t>9,0 milijardi</w:t>
      </w:r>
      <w:r w:rsidRPr="00C34746">
        <w:rPr>
          <w:rFonts w:ascii="Calibri" w:hAnsi="Calibri"/>
          <w:lang w:val="hr-HR"/>
        </w:rPr>
        <w:t xml:space="preserve"> kuna, odnosno 1,</w:t>
      </w:r>
      <w:r>
        <w:rPr>
          <w:rFonts w:ascii="Calibri" w:hAnsi="Calibri"/>
          <w:lang w:val="hr-HR"/>
        </w:rPr>
        <w:t>6</w:t>
      </w:r>
      <w:r w:rsidRPr="00C34746">
        <w:rPr>
          <w:rFonts w:ascii="Calibri" w:hAnsi="Calibri"/>
          <w:lang w:val="hr-HR"/>
        </w:rPr>
        <w:t xml:space="preserve"> milijard</w:t>
      </w:r>
      <w:r>
        <w:rPr>
          <w:rFonts w:ascii="Calibri" w:hAnsi="Calibri"/>
          <w:lang w:val="hr-HR"/>
        </w:rPr>
        <w:t>i kuna više od tekućeg plana 2021</w:t>
      </w:r>
      <w:r w:rsidRPr="00C34746">
        <w:rPr>
          <w:rFonts w:ascii="Calibri" w:hAnsi="Calibri"/>
          <w:lang w:val="hr-HR"/>
        </w:rPr>
        <w:t xml:space="preserve">. godine. </w:t>
      </w:r>
      <w:r>
        <w:rPr>
          <w:rFonts w:ascii="Calibri" w:hAnsi="Calibri"/>
          <w:lang w:val="hr-HR"/>
        </w:rPr>
        <w:t>Od navedenog povećanja 328,5 milijuna kuna odnosi se na rashode koji</w:t>
      </w:r>
      <w:r w:rsidRPr="00C34746">
        <w:rPr>
          <w:rFonts w:ascii="Calibri" w:hAnsi="Calibri"/>
          <w:lang w:val="hr-HR"/>
        </w:rPr>
        <w:t xml:space="preserve"> se financiraju iz općih prihoda i primitaka, doprino</w:t>
      </w:r>
      <w:r>
        <w:rPr>
          <w:rFonts w:ascii="Calibri" w:hAnsi="Calibri"/>
          <w:lang w:val="hr-HR"/>
        </w:rPr>
        <w:t xml:space="preserve">sa i namjenskih primitaka, dok se 1,2 milijarde kuna odnosi na rashode koji se financiraju iz EU i ostalih izvora. </w:t>
      </w:r>
      <w:r w:rsidRPr="00C34746">
        <w:rPr>
          <w:rFonts w:ascii="Calibri" w:hAnsi="Calibri"/>
          <w:lang w:val="hr-HR"/>
        </w:rPr>
        <w:t>Navedeni porast rezultat je povećanja ovih rashoda financiranih iz EU izvora za provedbu projekata u okviru Operativnog programa konkurentnost i kohezija u nadležnosti Ministarstva gospodarstva i održivog razvoja</w:t>
      </w:r>
      <w:r>
        <w:rPr>
          <w:rFonts w:ascii="Calibri" w:hAnsi="Calibri"/>
          <w:lang w:val="hr-HR"/>
        </w:rPr>
        <w:t xml:space="preserve"> i Ministarstva mora, prometa i infrastrukture</w:t>
      </w:r>
      <w:r w:rsidRPr="00C34746">
        <w:rPr>
          <w:rFonts w:ascii="Calibri" w:hAnsi="Calibri"/>
          <w:lang w:val="hr-HR"/>
        </w:rPr>
        <w:t>.</w:t>
      </w:r>
    </w:p>
    <w:p w:rsidR="00F22D55" w:rsidRDefault="00F22D55" w:rsidP="00F22D55">
      <w:pPr>
        <w:jc w:val="both"/>
        <w:rPr>
          <w:rFonts w:ascii="Calibri" w:hAnsi="Calibri"/>
          <w:lang w:val="hr-HR"/>
        </w:rPr>
      </w:pPr>
      <w:r w:rsidRPr="00C34746">
        <w:rPr>
          <w:rFonts w:ascii="Calibri" w:hAnsi="Calibri"/>
          <w:lang w:val="hr-HR"/>
        </w:rPr>
        <w:t>U 202</w:t>
      </w:r>
      <w:r>
        <w:rPr>
          <w:rFonts w:ascii="Calibri" w:hAnsi="Calibri"/>
          <w:lang w:val="hr-HR"/>
        </w:rPr>
        <w:t>3</w:t>
      </w:r>
      <w:r w:rsidRPr="00C34746">
        <w:rPr>
          <w:rFonts w:ascii="Calibri" w:hAnsi="Calibri"/>
          <w:lang w:val="hr-HR"/>
        </w:rPr>
        <w:t>. i 202</w:t>
      </w:r>
      <w:r>
        <w:rPr>
          <w:rFonts w:ascii="Calibri" w:hAnsi="Calibri"/>
          <w:lang w:val="hr-HR"/>
        </w:rPr>
        <w:t>4</w:t>
      </w:r>
      <w:r w:rsidRPr="00C34746">
        <w:rPr>
          <w:rFonts w:ascii="Calibri" w:hAnsi="Calibri"/>
          <w:lang w:val="hr-HR"/>
        </w:rPr>
        <w:t>. godini ovi rashodi projiciran</w:t>
      </w:r>
      <w:r>
        <w:rPr>
          <w:rFonts w:ascii="Calibri" w:hAnsi="Calibri"/>
          <w:lang w:val="hr-HR"/>
        </w:rPr>
        <w:t>i su na razini od 9,7, odnosno 8,4</w:t>
      </w:r>
      <w:r w:rsidRPr="00C34746">
        <w:rPr>
          <w:rFonts w:ascii="Calibri" w:hAnsi="Calibri"/>
          <w:lang w:val="hr-HR"/>
        </w:rPr>
        <w:t xml:space="preserve"> milijarde kuna.</w:t>
      </w:r>
    </w:p>
    <w:p w:rsidR="00F22D55" w:rsidRPr="00C34746" w:rsidRDefault="00F22D55" w:rsidP="00F22D55">
      <w:pPr>
        <w:jc w:val="both"/>
        <w:rPr>
          <w:rFonts w:ascii="Calibri" w:hAnsi="Calibri"/>
          <w:lang w:val="hr-HR"/>
        </w:rPr>
      </w:pPr>
    </w:p>
    <w:p w:rsidR="00F22D55" w:rsidRPr="00C34746" w:rsidRDefault="00F22D55" w:rsidP="00F22D55">
      <w:pPr>
        <w:tabs>
          <w:tab w:val="left" w:pos="0"/>
        </w:tabs>
        <w:jc w:val="both"/>
        <w:rPr>
          <w:b/>
          <w:bCs/>
          <w:i/>
          <w:sz w:val="24"/>
          <w:lang w:val="hr-HR"/>
        </w:rPr>
      </w:pPr>
      <w:r w:rsidRPr="00C34746">
        <w:rPr>
          <w:b/>
          <w:bCs/>
          <w:i/>
          <w:sz w:val="24"/>
          <w:lang w:val="hr-HR"/>
        </w:rPr>
        <w:t>Rashodi za nabavu nefinancijske imovine</w:t>
      </w:r>
    </w:p>
    <w:p w:rsidR="00F22D55" w:rsidRPr="00C34746" w:rsidRDefault="00F22D55" w:rsidP="00F22D55">
      <w:pPr>
        <w:autoSpaceDE w:val="0"/>
        <w:autoSpaceDN w:val="0"/>
        <w:adjustRightInd w:val="0"/>
        <w:jc w:val="both"/>
        <w:rPr>
          <w:rFonts w:ascii="Calibri" w:hAnsi="Calibri"/>
          <w:lang w:val="hr-HR"/>
        </w:rPr>
      </w:pPr>
      <w:r w:rsidRPr="00C34746">
        <w:rPr>
          <w:rFonts w:ascii="Calibri" w:hAnsi="Calibri" w:cs="Times New Roman"/>
          <w:color w:val="000000"/>
          <w:lang w:val="hr-HR"/>
        </w:rPr>
        <w:t>Rashodi za nabavu nefinancijske imovine u 202</w:t>
      </w:r>
      <w:r>
        <w:rPr>
          <w:rFonts w:ascii="Calibri" w:hAnsi="Calibri" w:cs="Times New Roman"/>
          <w:color w:val="000000"/>
          <w:lang w:val="hr-HR"/>
        </w:rPr>
        <w:t>2</w:t>
      </w:r>
      <w:r w:rsidRPr="00C34746">
        <w:rPr>
          <w:rFonts w:ascii="Calibri" w:hAnsi="Calibri" w:cs="Times New Roman"/>
          <w:color w:val="000000"/>
          <w:lang w:val="hr-HR"/>
        </w:rPr>
        <w:t xml:space="preserve">. godini projicirani su u iznosu od </w:t>
      </w:r>
      <w:r>
        <w:rPr>
          <w:rFonts w:ascii="Calibri" w:hAnsi="Calibri" w:cs="Times New Roman"/>
          <w:color w:val="000000"/>
          <w:lang w:val="hr-HR"/>
        </w:rPr>
        <w:t>8,1</w:t>
      </w:r>
      <w:r w:rsidRPr="00C34746">
        <w:rPr>
          <w:rFonts w:ascii="Calibri" w:hAnsi="Calibri" w:cs="Times New Roman"/>
          <w:color w:val="000000"/>
          <w:lang w:val="hr-HR"/>
        </w:rPr>
        <w:t xml:space="preserve"> milijard</w:t>
      </w:r>
      <w:r>
        <w:rPr>
          <w:rFonts w:ascii="Calibri" w:hAnsi="Calibri" w:cs="Times New Roman"/>
          <w:color w:val="000000"/>
          <w:lang w:val="hr-HR"/>
        </w:rPr>
        <w:t>u</w:t>
      </w:r>
      <w:r w:rsidRPr="00C34746">
        <w:rPr>
          <w:rFonts w:ascii="Calibri" w:hAnsi="Calibri" w:cs="Times New Roman"/>
          <w:color w:val="000000"/>
          <w:lang w:val="hr-HR"/>
        </w:rPr>
        <w:t xml:space="preserve"> kuna.</w:t>
      </w:r>
      <w:r w:rsidRPr="00C34746">
        <w:rPr>
          <w:rFonts w:ascii="Calibri" w:hAnsi="Calibri"/>
          <w:lang w:val="hr-HR"/>
        </w:rPr>
        <w:t xml:space="preserve"> U okviru istih planirana su sredstva za kapitalne projekte u</w:t>
      </w:r>
      <w:r>
        <w:rPr>
          <w:rFonts w:ascii="Calibri" w:hAnsi="Calibri"/>
          <w:lang w:val="hr-HR"/>
        </w:rPr>
        <w:t xml:space="preserve"> sustavu znanosti i obrazovanja, zdravstva, Ministarstva unutarnjih poslova, Ministarstva mora, prometa i infrastrukture, Ministarstva gospodarstva i održivog razvoja te </w:t>
      </w:r>
      <w:r w:rsidRPr="00C34746">
        <w:rPr>
          <w:rFonts w:ascii="Calibri" w:hAnsi="Calibri"/>
          <w:lang w:val="hr-HR"/>
        </w:rPr>
        <w:t>Ministarstva obrane.</w:t>
      </w:r>
    </w:p>
    <w:p w:rsidR="00F22D55" w:rsidRDefault="00F22D55" w:rsidP="00F22D55">
      <w:pPr>
        <w:jc w:val="both"/>
        <w:rPr>
          <w:rFonts w:ascii="Calibri" w:hAnsi="Calibri"/>
          <w:lang w:val="hr-HR"/>
        </w:rPr>
      </w:pPr>
      <w:r w:rsidRPr="00C34746">
        <w:rPr>
          <w:rFonts w:ascii="Calibri" w:hAnsi="Calibri"/>
          <w:lang w:val="hr-HR"/>
        </w:rPr>
        <w:t>U 202</w:t>
      </w:r>
      <w:r>
        <w:rPr>
          <w:rFonts w:ascii="Calibri" w:hAnsi="Calibri"/>
          <w:lang w:val="hr-HR"/>
        </w:rPr>
        <w:t>3. i 2024</w:t>
      </w:r>
      <w:r w:rsidRPr="00C34746">
        <w:rPr>
          <w:rFonts w:ascii="Calibri" w:hAnsi="Calibri"/>
          <w:lang w:val="hr-HR"/>
        </w:rPr>
        <w:t>. godini ovi rasho</w:t>
      </w:r>
      <w:r>
        <w:rPr>
          <w:rFonts w:ascii="Calibri" w:hAnsi="Calibri"/>
          <w:lang w:val="hr-HR"/>
        </w:rPr>
        <w:t>di predviđaju se u iznosu od 5,6</w:t>
      </w:r>
      <w:r w:rsidRPr="00C34746">
        <w:rPr>
          <w:rFonts w:ascii="Calibri" w:hAnsi="Calibri"/>
          <w:lang w:val="hr-HR"/>
        </w:rPr>
        <w:t xml:space="preserve"> milijardi kuna, odnosno </w:t>
      </w:r>
      <w:r>
        <w:rPr>
          <w:rFonts w:ascii="Calibri" w:hAnsi="Calibri"/>
          <w:lang w:val="hr-HR"/>
        </w:rPr>
        <w:t>5,0</w:t>
      </w:r>
      <w:r w:rsidRPr="00C34746">
        <w:rPr>
          <w:rFonts w:ascii="Calibri" w:hAnsi="Calibri"/>
          <w:lang w:val="hr-HR"/>
        </w:rPr>
        <w:t xml:space="preserve"> milijardi kuna</w:t>
      </w:r>
      <w:r>
        <w:rPr>
          <w:rFonts w:ascii="Calibri" w:hAnsi="Calibri"/>
          <w:lang w:val="hr-HR"/>
        </w:rPr>
        <w:t>.</w:t>
      </w:r>
    </w:p>
    <w:p w:rsidR="00F22D55" w:rsidRPr="00F22D55" w:rsidRDefault="00F22D55" w:rsidP="00F22D55">
      <w:pPr>
        <w:jc w:val="both"/>
        <w:rPr>
          <w:rFonts w:ascii="Calibri" w:hAnsi="Calibri"/>
          <w:lang w:val="hr-HR"/>
        </w:rPr>
      </w:pPr>
    </w:p>
    <w:p w:rsidR="00F22D55" w:rsidRPr="00C34746" w:rsidRDefault="00F22D55" w:rsidP="00F22D55">
      <w:pPr>
        <w:tabs>
          <w:tab w:val="left" w:pos="0"/>
        </w:tabs>
        <w:jc w:val="both"/>
        <w:rPr>
          <w:rFonts w:asciiTheme="majorHAnsi" w:eastAsiaTheme="majorEastAsia" w:hAnsiTheme="majorHAnsi" w:cstheme="majorBidi"/>
          <w:b/>
          <w:bCs/>
          <w:color w:val="4F81BD" w:themeColor="accent1"/>
          <w:sz w:val="26"/>
          <w:szCs w:val="26"/>
          <w:lang w:val="hr-HR"/>
        </w:rPr>
      </w:pPr>
      <w:r w:rsidRPr="00C34746">
        <w:rPr>
          <w:rFonts w:asciiTheme="majorHAnsi" w:eastAsiaTheme="majorEastAsia" w:hAnsiTheme="majorHAnsi" w:cstheme="majorBidi"/>
          <w:b/>
          <w:bCs/>
          <w:color w:val="4F81BD" w:themeColor="accent1"/>
          <w:sz w:val="26"/>
          <w:szCs w:val="26"/>
          <w:lang w:val="hr-HR"/>
        </w:rPr>
        <w:t>Rashodi državnog proračuna po razdjelima</w:t>
      </w:r>
    </w:p>
    <w:p w:rsidR="00F22D55" w:rsidRPr="00C34746" w:rsidRDefault="00F22D55" w:rsidP="00F22D55">
      <w:pPr>
        <w:jc w:val="both"/>
        <w:rPr>
          <w:lang w:val="hr-HR"/>
        </w:rPr>
      </w:pPr>
      <w:r w:rsidRPr="001C76A4">
        <w:rPr>
          <w:lang w:val="hr-HR"/>
        </w:rPr>
        <w:t>Tablica 6</w:t>
      </w:r>
      <w:r w:rsidRPr="00C34746">
        <w:rPr>
          <w:lang w:val="hr-HR"/>
        </w:rPr>
        <w:t xml:space="preserve"> sadrži prikaz procjene gornje granice ukupnog fina</w:t>
      </w:r>
      <w:r>
        <w:rPr>
          <w:lang w:val="hr-HR"/>
        </w:rPr>
        <w:t>ncijskog plana za razdoblje 2022</w:t>
      </w:r>
      <w:r w:rsidRPr="00C34746">
        <w:rPr>
          <w:lang w:val="hr-HR"/>
        </w:rPr>
        <w:t>. - 202</w:t>
      </w:r>
      <w:r>
        <w:rPr>
          <w:lang w:val="hr-HR"/>
        </w:rPr>
        <w:t>4</w:t>
      </w:r>
      <w:r w:rsidRPr="00C34746">
        <w:rPr>
          <w:lang w:val="hr-HR"/>
        </w:rPr>
        <w:t>. prema razdjelima državnog proračuna. Navedene procjene uključuju rashode poslovanja (skupina konta 3) i rashode za nabavu nefinancijske imovine (skupina konta 4). Ti rashodi financiraju se iz sljedećih izvora: opći prihodi i primici, doprinosi (isključivo Ministarstvo rada</w:t>
      </w:r>
      <w:r>
        <w:rPr>
          <w:lang w:val="hr-HR"/>
        </w:rPr>
        <w:t>,</w:t>
      </w:r>
      <w:r w:rsidRPr="00C34746">
        <w:rPr>
          <w:lang w:val="hr-HR"/>
        </w:rPr>
        <w:t xml:space="preserve"> mirovinskoga sustava</w:t>
      </w:r>
      <w:r>
        <w:rPr>
          <w:lang w:val="hr-HR"/>
        </w:rPr>
        <w:t>, obitelji i socijalne politike</w:t>
      </w:r>
      <w:r w:rsidRPr="00C34746">
        <w:rPr>
          <w:lang w:val="hr-HR"/>
        </w:rPr>
        <w:t>) te namjenski primici od zaduživanja.</w:t>
      </w:r>
    </w:p>
    <w:p w:rsidR="00F22D55" w:rsidRPr="00C34746" w:rsidRDefault="00F22D55" w:rsidP="00F22D55">
      <w:pPr>
        <w:jc w:val="both"/>
        <w:rPr>
          <w:lang w:val="hr-HR"/>
        </w:rPr>
      </w:pPr>
      <w:r w:rsidRPr="00C34746">
        <w:rPr>
          <w:lang w:val="hr-HR"/>
        </w:rPr>
        <w:t xml:space="preserve">Izvor financiranja „opći prihodi i primici“ obuhvaća: prihode od poreza (najvećim dijelom), prihode od financijske imovine, prihode od administrativnih (upravnih) pristojbi, prihode državne uprave, prihode od kazni, primitke od financijske imovine i zaduživanja te ostale. </w:t>
      </w:r>
    </w:p>
    <w:p w:rsidR="00F22D55" w:rsidRPr="00C34746" w:rsidRDefault="00F22D55" w:rsidP="00F22D55">
      <w:pPr>
        <w:jc w:val="both"/>
        <w:rPr>
          <w:lang w:val="hr-HR"/>
        </w:rPr>
      </w:pPr>
      <w:r w:rsidRPr="00C34746">
        <w:rPr>
          <w:lang w:val="hr-HR"/>
        </w:rPr>
        <w:lastRenderedPageBreak/>
        <w:t>Za prihode koji se klasificiraju u izvor financiranja „opći prihodi i primici“ namjena korištenja utvrđuje se kroz sam proračun. Rashodi planirani u financijskom planu proračunskog korisnika iz izvora financiranja „opći prihodi i primici“ podmiruju se do visine planiranih rashoda neovisno o naplaćenim prihodima.</w:t>
      </w:r>
    </w:p>
    <w:p w:rsidR="00F22D55" w:rsidRPr="00C34746" w:rsidRDefault="00F22D55" w:rsidP="00F22D55">
      <w:pPr>
        <w:jc w:val="both"/>
        <w:rPr>
          <w:lang w:val="hr-HR"/>
        </w:rPr>
      </w:pPr>
      <w:r w:rsidRPr="00C34746">
        <w:rPr>
          <w:lang w:val="hr-HR"/>
        </w:rPr>
        <w:t>U svrhu izrade fiskalno održivih proračuna u narednom trogodišnjem razdoblju, ministarstva, središnji državni uredi i agencije u izradi prijedloga svojih financijskih planova obvezni su se rukovoditi utvrđenim ograničenjem po razdjelima državnog proračuna za izvore financiranja koji utječu na visinu manjka proračuna opće države.</w:t>
      </w:r>
    </w:p>
    <w:p w:rsidR="00F22D55" w:rsidRPr="00C34746" w:rsidRDefault="00F22D55" w:rsidP="00F22D55">
      <w:pPr>
        <w:jc w:val="both"/>
        <w:rPr>
          <w:lang w:val="hr-HR"/>
        </w:rPr>
      </w:pPr>
      <w:r w:rsidRPr="00C34746">
        <w:rPr>
          <w:lang w:val="hr-HR"/>
        </w:rPr>
        <w:t xml:space="preserve">S obzirom na proračunska ograničenja, proračunski korisnici se usmjeravaju na veće korištenje europskih fondova. Pritom je potrebno osigurati sredstva na vlastitim pozicijama za nacionalno sufinanciranje. </w:t>
      </w:r>
    </w:p>
    <w:p w:rsidR="00F22D55" w:rsidRPr="00C34746" w:rsidRDefault="00F22D55" w:rsidP="00F22D55">
      <w:pPr>
        <w:jc w:val="both"/>
        <w:rPr>
          <w:lang w:val="hr-HR"/>
        </w:rPr>
      </w:pPr>
      <w:r w:rsidRPr="00C34746">
        <w:rPr>
          <w:lang w:val="hr-HR"/>
        </w:rPr>
        <w:t>Proračunskim korisnicima se napominje da, sukladno članku 25. stavku 3. Zakona o proračunu</w:t>
      </w:r>
      <w:r w:rsidRPr="00C34746">
        <w:rPr>
          <w:vertAlign w:val="superscript"/>
          <w:lang w:val="hr-HR"/>
        </w:rPr>
        <w:footnoteReference w:id="3"/>
      </w:r>
      <w:r w:rsidRPr="00C34746">
        <w:rPr>
          <w:lang w:val="hr-HR"/>
        </w:rPr>
        <w:t>, visina financijskog plana po razdjelima organizacijske klasifikacije obuhvaća:</w:t>
      </w:r>
    </w:p>
    <w:p w:rsidR="00F22D55" w:rsidRPr="00C34746" w:rsidRDefault="00F22D55" w:rsidP="00F22D55">
      <w:pPr>
        <w:numPr>
          <w:ilvl w:val="0"/>
          <w:numId w:val="12"/>
        </w:numPr>
        <w:contextualSpacing/>
        <w:jc w:val="both"/>
        <w:rPr>
          <w:lang w:val="hr-HR"/>
        </w:rPr>
      </w:pPr>
      <w:r w:rsidRPr="00C34746">
        <w:rPr>
          <w:lang w:val="hr-HR"/>
        </w:rPr>
        <w:t>visinu sredstava potrebnih za provedbu postojećih programa, odnosno aktivnosti, koje proizlaze iz trenutno važećih propisa, i</w:t>
      </w:r>
    </w:p>
    <w:p w:rsidR="007262DF" w:rsidRDefault="00F22D55" w:rsidP="00F22D55">
      <w:pPr>
        <w:numPr>
          <w:ilvl w:val="0"/>
          <w:numId w:val="12"/>
        </w:numPr>
        <w:contextualSpacing/>
        <w:jc w:val="both"/>
        <w:rPr>
          <w:lang w:val="hr-HR"/>
        </w:rPr>
      </w:pPr>
      <w:r w:rsidRPr="00C34746">
        <w:rPr>
          <w:lang w:val="hr-HR"/>
        </w:rPr>
        <w:t>visinu sredstava potrebnih za uvođenje i provedbu novih ili promjenu postojećih programa, odnosno aktivnosti.</w:t>
      </w:r>
    </w:p>
    <w:p w:rsidR="007262DF" w:rsidRPr="007262DF" w:rsidRDefault="007262DF" w:rsidP="007262DF">
      <w:pPr>
        <w:ind w:left="720"/>
        <w:contextualSpacing/>
        <w:jc w:val="both"/>
        <w:rPr>
          <w:lang w:val="hr-HR"/>
        </w:rPr>
      </w:pPr>
    </w:p>
    <w:p w:rsidR="007262DF" w:rsidRPr="00251F9E" w:rsidRDefault="007262DF" w:rsidP="007262DF">
      <w:pPr>
        <w:jc w:val="both"/>
        <w:rPr>
          <w:b/>
          <w:lang w:val="hr-HR"/>
        </w:rPr>
      </w:pPr>
      <w:r w:rsidRPr="00251F9E">
        <w:rPr>
          <w:b/>
          <w:lang w:val="hr-HR"/>
        </w:rPr>
        <w:t>Utvrđeni limiti ne uključuju sredstva za nabavu višenamjenskih borbenih aviona za koj</w:t>
      </w:r>
      <w:r>
        <w:rPr>
          <w:b/>
          <w:lang w:val="hr-HR"/>
        </w:rPr>
        <w:t>u</w:t>
      </w:r>
      <w:r w:rsidRPr="00251F9E">
        <w:rPr>
          <w:b/>
          <w:lang w:val="hr-HR"/>
        </w:rPr>
        <w:t xml:space="preserve"> se</w:t>
      </w:r>
      <w:r>
        <w:rPr>
          <w:b/>
          <w:lang w:val="hr-HR"/>
        </w:rPr>
        <w:t>,</w:t>
      </w:r>
      <w:r w:rsidRPr="00251F9E">
        <w:rPr>
          <w:b/>
          <w:lang w:val="hr-HR"/>
        </w:rPr>
        <w:t xml:space="preserve"> sukladno Odluci Vlade Republike Hrvatske o nabavi višenamjenskoga borbenog aviona, očekuje sklapanje ugovora s Francuskom Republikom. Prilikom izrade Prijedloga državnog proračuna Republike Hrvatske za 2022. godinu i projekcija za 2023. i 2024. godinu limit ukupnih rashoda državnog proračuna povećat će se za potrebna sredstva.</w:t>
      </w:r>
    </w:p>
    <w:p w:rsidR="00F22D55" w:rsidRPr="00C34746" w:rsidRDefault="00F22D55" w:rsidP="00F22D55">
      <w:pPr>
        <w:jc w:val="both"/>
        <w:rPr>
          <w:lang w:val="hr-HR"/>
        </w:rPr>
      </w:pPr>
      <w:r w:rsidRPr="00C34746">
        <w:rPr>
          <w:lang w:val="hr-HR"/>
        </w:rPr>
        <w:br w:type="page"/>
      </w:r>
    </w:p>
    <w:p w:rsidR="00CB3800" w:rsidRPr="00CB3800" w:rsidRDefault="00CB3800" w:rsidP="00CB3800">
      <w:pPr>
        <w:tabs>
          <w:tab w:val="num" w:pos="0"/>
        </w:tabs>
        <w:spacing w:before="120" w:after="120"/>
        <w:jc w:val="both"/>
        <w:rPr>
          <w:rFonts w:ascii="Calibri" w:eastAsia="Times New Roman" w:hAnsi="Calibri" w:cs="Times New Roman"/>
          <w:i/>
          <w:color w:val="000000"/>
          <w:sz w:val="24"/>
          <w:szCs w:val="24"/>
          <w:lang w:val="hr-HR"/>
        </w:rPr>
      </w:pPr>
      <w:bookmarkStart w:id="27" w:name="_Toc15461772"/>
      <w:bookmarkStart w:id="28" w:name="_Toc78384046"/>
      <w:bookmarkStart w:id="29" w:name="_Toc78394998"/>
      <w:r w:rsidRPr="00CB3800">
        <w:rPr>
          <w:rFonts w:ascii="Calibri" w:eastAsia="Times New Roman" w:hAnsi="Calibri" w:cs="Times New Roman"/>
          <w:i/>
          <w:color w:val="000000"/>
          <w:sz w:val="24"/>
          <w:szCs w:val="24"/>
          <w:lang w:val="hr-HR"/>
        </w:rPr>
        <w:lastRenderedPageBreak/>
        <w:t xml:space="preserve">Tablica </w:t>
      </w:r>
      <w:r w:rsidRPr="00CB3800">
        <w:rPr>
          <w:rFonts w:ascii="Calibri" w:eastAsia="Times New Roman" w:hAnsi="Calibri" w:cs="Times New Roman"/>
          <w:b/>
          <w:i/>
          <w:color w:val="000000"/>
          <w:sz w:val="24"/>
          <w:szCs w:val="24"/>
          <w:lang w:val="hr-HR"/>
        </w:rPr>
        <w:fldChar w:fldCharType="begin"/>
      </w:r>
      <w:r w:rsidRPr="00CB3800">
        <w:rPr>
          <w:rFonts w:ascii="Calibri" w:eastAsia="Times New Roman" w:hAnsi="Calibri" w:cs="Times New Roman"/>
          <w:i/>
          <w:color w:val="000000"/>
          <w:sz w:val="24"/>
          <w:szCs w:val="24"/>
          <w:lang w:val="hr-HR"/>
        </w:rPr>
        <w:instrText xml:space="preserve"> SEQ Tablica \* ARABIC </w:instrText>
      </w:r>
      <w:r w:rsidRPr="00CB3800">
        <w:rPr>
          <w:rFonts w:ascii="Calibri" w:eastAsia="Times New Roman" w:hAnsi="Calibri" w:cs="Times New Roman"/>
          <w:b/>
          <w:i/>
          <w:color w:val="000000"/>
          <w:sz w:val="24"/>
          <w:szCs w:val="24"/>
          <w:lang w:val="hr-HR"/>
        </w:rPr>
        <w:fldChar w:fldCharType="separate"/>
      </w:r>
      <w:r w:rsidR="00F17D56">
        <w:rPr>
          <w:rFonts w:ascii="Calibri" w:eastAsia="Times New Roman" w:hAnsi="Calibri" w:cs="Times New Roman"/>
          <w:i/>
          <w:noProof/>
          <w:color w:val="000000"/>
          <w:sz w:val="24"/>
          <w:szCs w:val="24"/>
          <w:lang w:val="hr-HR"/>
        </w:rPr>
        <w:t>6</w:t>
      </w:r>
      <w:r w:rsidRPr="00CB3800">
        <w:rPr>
          <w:rFonts w:ascii="Calibri" w:eastAsia="Times New Roman" w:hAnsi="Calibri" w:cs="Times New Roman"/>
          <w:b/>
          <w:i/>
          <w:color w:val="000000"/>
          <w:sz w:val="24"/>
          <w:szCs w:val="24"/>
          <w:lang w:val="hr-HR"/>
        </w:rPr>
        <w:fldChar w:fldCharType="end"/>
      </w:r>
      <w:r w:rsidRPr="00CB3800">
        <w:rPr>
          <w:rFonts w:ascii="Calibri" w:eastAsia="Times New Roman" w:hAnsi="Calibri" w:cs="Times New Roman"/>
          <w:i/>
          <w:color w:val="000000"/>
          <w:sz w:val="24"/>
          <w:szCs w:val="24"/>
          <w:lang w:val="hr-HR"/>
        </w:rPr>
        <w:t>: Limiti ukupnih rashoda po razdjelima državnog proračuna za izvore financiranja: opći prihodi i primici, doprinosi i namjenski primici za razdoblje 2022. – 2024.</w:t>
      </w:r>
      <w:bookmarkEnd w:id="27"/>
      <w:bookmarkEnd w:id="28"/>
      <w:bookmarkEnd w:id="29"/>
    </w:p>
    <w:p w:rsidR="00F22D55" w:rsidRDefault="00F22D55" w:rsidP="00F22D55">
      <w:pPr>
        <w:spacing w:after="120"/>
        <w:rPr>
          <w:noProof/>
          <w:lang w:val="hr-HR" w:eastAsia="hr-HR"/>
        </w:rPr>
      </w:pPr>
      <w:r w:rsidRPr="00690622">
        <w:rPr>
          <w:noProof/>
          <w:lang w:val="hr-HR" w:eastAsia="hr-HR"/>
        </w:rPr>
        <w:drawing>
          <wp:inline distT="0" distB="0" distL="0" distR="0" wp14:anchorId="5CD7EC62" wp14:editId="62944EBB">
            <wp:extent cx="5760720" cy="6771658"/>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6771658"/>
                    </a:xfrm>
                    <a:prstGeom prst="rect">
                      <a:avLst/>
                    </a:prstGeom>
                    <a:noFill/>
                    <a:ln>
                      <a:noFill/>
                    </a:ln>
                  </pic:spPr>
                </pic:pic>
              </a:graphicData>
            </a:graphic>
          </wp:inline>
        </w:drawing>
      </w:r>
    </w:p>
    <w:p w:rsidR="00F22D55" w:rsidRPr="002F39E0" w:rsidRDefault="00F22D55" w:rsidP="00F22D55">
      <w:pPr>
        <w:spacing w:after="0" w:line="240" w:lineRule="auto"/>
        <w:rPr>
          <w:rFonts w:ascii="Calibri" w:hAnsi="Calibri"/>
          <w:i/>
          <w:sz w:val="16"/>
          <w:szCs w:val="16"/>
          <w:lang w:val="hr-HR"/>
        </w:rPr>
      </w:pPr>
      <w:r w:rsidRPr="002F39E0">
        <w:rPr>
          <w:rFonts w:ascii="Calibri" w:hAnsi="Calibri"/>
          <w:i/>
          <w:sz w:val="16"/>
          <w:szCs w:val="16"/>
          <w:lang w:val="hr-HR"/>
        </w:rPr>
        <w:t>Izvor: Ministarstvo financija</w:t>
      </w:r>
    </w:p>
    <w:p w:rsidR="00F22D55" w:rsidRDefault="00F22D55" w:rsidP="00F22D55">
      <w:pPr>
        <w:spacing w:after="0" w:line="240" w:lineRule="auto"/>
        <w:jc w:val="both"/>
        <w:rPr>
          <w:i/>
          <w:sz w:val="16"/>
          <w:szCs w:val="16"/>
          <w:lang w:val="hr-HR"/>
        </w:rPr>
      </w:pPr>
      <w:r w:rsidRPr="002F39E0">
        <w:rPr>
          <w:i/>
          <w:sz w:val="16"/>
          <w:szCs w:val="16"/>
          <w:lang w:val="hr-HR"/>
        </w:rPr>
        <w:t>*Napomena: Zbog statusnih promjena usporedba s 2020. godinom nije moguća</w:t>
      </w:r>
    </w:p>
    <w:p w:rsidR="00F22D55" w:rsidRPr="004B6468" w:rsidRDefault="00F22D55" w:rsidP="00F22D55">
      <w:pPr>
        <w:jc w:val="both"/>
        <w:rPr>
          <w:i/>
          <w:sz w:val="18"/>
          <w:szCs w:val="18"/>
          <w:lang w:val="hr-HR"/>
        </w:rPr>
      </w:pPr>
      <w:r w:rsidRPr="004B6468">
        <w:rPr>
          <w:i/>
          <w:sz w:val="18"/>
          <w:szCs w:val="18"/>
          <w:lang w:val="hr-HR"/>
        </w:rPr>
        <w:t>Sredstva drugog limita u 2022. godini odnose se na sredstva za provedbu novog zakona o socijalnoj skrbi.</w:t>
      </w:r>
    </w:p>
    <w:p w:rsidR="00F22D55" w:rsidRPr="004B6468" w:rsidRDefault="00F22D55" w:rsidP="00F22D55">
      <w:pPr>
        <w:jc w:val="both"/>
        <w:rPr>
          <w:b/>
          <w:lang w:val="hr-HR"/>
        </w:rPr>
      </w:pPr>
      <w:r w:rsidRPr="004B6468">
        <w:rPr>
          <w:b/>
          <w:lang w:val="hr-HR"/>
        </w:rPr>
        <w:t xml:space="preserve">U okviru danog limita razdjeli su dužni prvenstveno osigurati sredstva za pokriće preuzetih zakonskih i ugovornih obveza, dok se provedba ostalih aktivnosti mora prilagoditi raspoloživim sredstvima. </w:t>
      </w:r>
    </w:p>
    <w:p w:rsidR="00F22D55" w:rsidRPr="00251F9E" w:rsidRDefault="00F22D55" w:rsidP="00F22D55">
      <w:pPr>
        <w:jc w:val="both"/>
        <w:rPr>
          <w:rFonts w:ascii="Calibri" w:hAnsi="Calibri"/>
          <w:b/>
          <w:highlight w:val="yellow"/>
          <w:lang w:val="hr-HR"/>
        </w:rPr>
      </w:pPr>
    </w:p>
    <w:p w:rsidR="00E52BDF" w:rsidRPr="00915DE1" w:rsidRDefault="00F73C50" w:rsidP="00E52BDF">
      <w:pPr>
        <w:pStyle w:val="Naslov2"/>
        <w:numPr>
          <w:ilvl w:val="1"/>
          <w:numId w:val="1"/>
        </w:numPr>
        <w:rPr>
          <w:lang w:val="hr-HR"/>
        </w:rPr>
      </w:pPr>
      <w:bookmarkStart w:id="30" w:name="_Toc78395758"/>
      <w:r w:rsidRPr="00915DE1">
        <w:rPr>
          <w:lang w:val="hr-HR"/>
        </w:rPr>
        <w:lastRenderedPageBreak/>
        <w:t>Izvanproračunski korisnici</w:t>
      </w:r>
      <w:bookmarkEnd w:id="16"/>
      <w:r w:rsidR="001D0947" w:rsidRPr="00915DE1">
        <w:rPr>
          <w:lang w:val="hr-HR"/>
        </w:rPr>
        <w:t xml:space="preserve"> državnog proračuna</w:t>
      </w:r>
      <w:bookmarkEnd w:id="30"/>
    </w:p>
    <w:p w:rsidR="00E52BDF" w:rsidRPr="00416D9B" w:rsidRDefault="00E52BDF" w:rsidP="00E52BDF">
      <w:pPr>
        <w:rPr>
          <w:highlight w:val="yellow"/>
          <w:lang w:val="hr-HR"/>
        </w:rPr>
      </w:pPr>
    </w:p>
    <w:p w:rsidR="001D0947" w:rsidRPr="00186C72" w:rsidRDefault="008274C5" w:rsidP="006012F9">
      <w:pPr>
        <w:spacing w:after="120"/>
        <w:jc w:val="both"/>
        <w:rPr>
          <w:rFonts w:ascii="Calibri" w:hAnsi="Calibri"/>
          <w:lang w:val="hr-HR"/>
        </w:rPr>
      </w:pPr>
      <w:r w:rsidRPr="00186C72">
        <w:rPr>
          <w:rFonts w:ascii="Calibri" w:hAnsi="Calibri"/>
          <w:lang w:val="hr-HR"/>
        </w:rPr>
        <w:t>Kako</w:t>
      </w:r>
      <w:r w:rsidR="001D0947" w:rsidRPr="00186C72">
        <w:rPr>
          <w:rFonts w:ascii="Calibri" w:hAnsi="Calibri"/>
          <w:lang w:val="hr-HR"/>
        </w:rPr>
        <w:t xml:space="preserve"> uz državni proračun, na ukupni saldo općeg proračuna utječu i financijski rezultati izvanproračunskih korisnika, S</w:t>
      </w:r>
      <w:r w:rsidR="00453498" w:rsidRPr="00186C72">
        <w:rPr>
          <w:rFonts w:ascii="Calibri" w:hAnsi="Calibri"/>
          <w:lang w:val="hr-HR"/>
        </w:rPr>
        <w:t xml:space="preserve">mjernicama je utvrđen i manjak/višak </w:t>
      </w:r>
      <w:r w:rsidR="001D0947" w:rsidRPr="00186C72">
        <w:rPr>
          <w:rFonts w:ascii="Calibri" w:hAnsi="Calibri"/>
          <w:lang w:val="hr-HR"/>
        </w:rPr>
        <w:t xml:space="preserve">prema pravilima proračunskog računovodstva </w:t>
      </w:r>
      <w:r w:rsidR="00453498" w:rsidRPr="00186C72">
        <w:rPr>
          <w:rFonts w:ascii="Calibri" w:hAnsi="Calibri"/>
          <w:lang w:val="hr-HR"/>
        </w:rPr>
        <w:t xml:space="preserve">koji moraju ispunjavati </w:t>
      </w:r>
      <w:r w:rsidR="001D0947" w:rsidRPr="00186C72">
        <w:rPr>
          <w:rFonts w:ascii="Calibri" w:hAnsi="Calibri"/>
          <w:lang w:val="hr-HR"/>
        </w:rPr>
        <w:t xml:space="preserve">izvanproračunski korisnici državnog proračuna </w:t>
      </w:r>
      <w:r w:rsidR="00453498" w:rsidRPr="00186C72">
        <w:rPr>
          <w:rFonts w:ascii="Calibri" w:hAnsi="Calibri"/>
          <w:lang w:val="hr-HR"/>
        </w:rPr>
        <w:t>u nadolazećem srednjoročnom razdoblju</w:t>
      </w:r>
      <w:r w:rsidR="0048429B" w:rsidRPr="00186C72">
        <w:rPr>
          <w:rFonts w:ascii="Calibri" w:hAnsi="Calibri"/>
          <w:lang w:val="hr-HR"/>
        </w:rPr>
        <w:t>, tj</w:t>
      </w:r>
      <w:r w:rsidR="00453498" w:rsidRPr="00186C72">
        <w:rPr>
          <w:rFonts w:ascii="Calibri" w:hAnsi="Calibri"/>
          <w:lang w:val="hr-HR"/>
        </w:rPr>
        <w:t>.</w:t>
      </w:r>
      <w:r w:rsidR="0048429B" w:rsidRPr="00186C72">
        <w:rPr>
          <w:rFonts w:ascii="Calibri" w:hAnsi="Calibri"/>
          <w:lang w:val="hr-HR"/>
        </w:rPr>
        <w:t xml:space="preserve"> prilikom izrade financijskih planova za 202</w:t>
      </w:r>
      <w:r w:rsidR="00186C72" w:rsidRPr="00186C72">
        <w:rPr>
          <w:rFonts w:ascii="Calibri" w:hAnsi="Calibri"/>
          <w:lang w:val="hr-HR"/>
        </w:rPr>
        <w:t>2</w:t>
      </w:r>
      <w:r w:rsidR="0048429B" w:rsidRPr="00186C72">
        <w:rPr>
          <w:rFonts w:ascii="Calibri" w:hAnsi="Calibri"/>
          <w:lang w:val="hr-HR"/>
        </w:rPr>
        <w:t>. i projekcija za 20</w:t>
      </w:r>
      <w:r w:rsidR="001D0947" w:rsidRPr="00186C72">
        <w:rPr>
          <w:rFonts w:ascii="Calibri" w:hAnsi="Calibri"/>
          <w:lang w:val="hr-HR"/>
        </w:rPr>
        <w:t>2</w:t>
      </w:r>
      <w:r w:rsidR="00186C72" w:rsidRPr="00186C72">
        <w:rPr>
          <w:rFonts w:ascii="Calibri" w:hAnsi="Calibri"/>
          <w:lang w:val="hr-HR"/>
        </w:rPr>
        <w:t>3</w:t>
      </w:r>
      <w:r w:rsidR="0048429B" w:rsidRPr="00186C72">
        <w:rPr>
          <w:rFonts w:ascii="Calibri" w:hAnsi="Calibri"/>
          <w:lang w:val="hr-HR"/>
        </w:rPr>
        <w:t>. i 202</w:t>
      </w:r>
      <w:r w:rsidR="00186C72" w:rsidRPr="00186C72">
        <w:rPr>
          <w:rFonts w:ascii="Calibri" w:hAnsi="Calibri"/>
          <w:lang w:val="hr-HR"/>
        </w:rPr>
        <w:t>4</w:t>
      </w:r>
      <w:r w:rsidR="0048429B" w:rsidRPr="00186C72">
        <w:rPr>
          <w:rFonts w:ascii="Calibri" w:hAnsi="Calibri"/>
          <w:lang w:val="hr-HR"/>
        </w:rPr>
        <w:t>.</w:t>
      </w:r>
      <w:r w:rsidR="001D0947" w:rsidRPr="00186C72">
        <w:rPr>
          <w:rFonts w:ascii="Calibri" w:hAnsi="Calibri"/>
          <w:lang w:val="hr-HR"/>
        </w:rPr>
        <w:t xml:space="preserve"> godinu. </w:t>
      </w:r>
    </w:p>
    <w:p w:rsidR="00DE3CA6" w:rsidRPr="00186C72" w:rsidRDefault="00DE3CA6" w:rsidP="006012F9">
      <w:pPr>
        <w:spacing w:after="120"/>
        <w:jc w:val="both"/>
        <w:rPr>
          <w:rFonts w:ascii="Calibri" w:hAnsi="Calibri"/>
          <w:i/>
          <w:lang w:val="hr-HR"/>
        </w:rPr>
      </w:pPr>
      <w:bookmarkStart w:id="31" w:name="_Toc78394999"/>
      <w:r w:rsidRPr="00186C72">
        <w:rPr>
          <w:rFonts w:ascii="Calibri" w:hAnsi="Calibri"/>
          <w:i/>
          <w:lang w:val="hr-HR"/>
        </w:rPr>
        <w:t xml:space="preserve">Tablica </w:t>
      </w:r>
      <w:r w:rsidRPr="00186C72">
        <w:rPr>
          <w:rFonts w:ascii="Calibri" w:hAnsi="Calibri"/>
          <w:i/>
          <w:lang w:val="hr-HR"/>
        </w:rPr>
        <w:fldChar w:fldCharType="begin"/>
      </w:r>
      <w:r w:rsidRPr="00186C72">
        <w:rPr>
          <w:rFonts w:ascii="Calibri" w:hAnsi="Calibri"/>
          <w:i/>
          <w:lang w:val="hr-HR"/>
        </w:rPr>
        <w:instrText xml:space="preserve"> SEQ Tablica \* ARABIC </w:instrText>
      </w:r>
      <w:r w:rsidRPr="00186C72">
        <w:rPr>
          <w:rFonts w:ascii="Calibri" w:hAnsi="Calibri"/>
          <w:i/>
          <w:lang w:val="hr-HR"/>
        </w:rPr>
        <w:fldChar w:fldCharType="separate"/>
      </w:r>
      <w:r w:rsidR="00F17D56">
        <w:rPr>
          <w:rFonts w:ascii="Calibri" w:hAnsi="Calibri"/>
          <w:i/>
          <w:noProof/>
          <w:lang w:val="hr-HR"/>
        </w:rPr>
        <w:t>7</w:t>
      </w:r>
      <w:r w:rsidRPr="00186C72">
        <w:rPr>
          <w:rFonts w:ascii="Calibri" w:hAnsi="Calibri"/>
          <w:i/>
          <w:lang w:val="hr-HR"/>
        </w:rPr>
        <w:fldChar w:fldCharType="end"/>
      </w:r>
      <w:r w:rsidRPr="00186C72">
        <w:rPr>
          <w:rFonts w:ascii="Calibri" w:hAnsi="Calibri"/>
          <w:i/>
          <w:lang w:val="hr-HR"/>
        </w:rPr>
        <w:t>: Manjak/višak izvanproračunskih korisnika</w:t>
      </w:r>
      <w:bookmarkEnd w:id="31"/>
      <w:r w:rsidRPr="00186C72">
        <w:rPr>
          <w:rFonts w:ascii="Calibri" w:hAnsi="Calibri"/>
          <w:i/>
          <w:lang w:val="hr-HR"/>
        </w:rPr>
        <w:t xml:space="preserve"> </w:t>
      </w:r>
    </w:p>
    <w:p w:rsidR="001D0947" w:rsidRPr="00186C72" w:rsidRDefault="00186C72" w:rsidP="001D0947">
      <w:pPr>
        <w:spacing w:after="120"/>
      </w:pPr>
      <w:r w:rsidRPr="00186C72">
        <w:rPr>
          <w:noProof/>
          <w:lang w:val="hr-HR" w:eastAsia="hr-HR"/>
        </w:rPr>
        <w:drawing>
          <wp:inline distT="0" distB="0" distL="0" distR="0">
            <wp:extent cx="5760720" cy="1594091"/>
            <wp:effectExtent l="0" t="0" r="0" b="635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594091"/>
                    </a:xfrm>
                    <a:prstGeom prst="rect">
                      <a:avLst/>
                    </a:prstGeom>
                    <a:noFill/>
                    <a:ln>
                      <a:noFill/>
                    </a:ln>
                  </pic:spPr>
                </pic:pic>
              </a:graphicData>
            </a:graphic>
          </wp:inline>
        </w:drawing>
      </w:r>
    </w:p>
    <w:p w:rsidR="00DE3CA6" w:rsidRPr="001D0947" w:rsidRDefault="00DE3CA6" w:rsidP="00C77B1F">
      <w:pPr>
        <w:rPr>
          <w:rFonts w:ascii="Calibri" w:hAnsi="Calibri"/>
          <w:i/>
          <w:sz w:val="20"/>
          <w:szCs w:val="20"/>
          <w:lang w:val="hr-HR"/>
        </w:rPr>
      </w:pPr>
      <w:r w:rsidRPr="00186C72">
        <w:rPr>
          <w:rFonts w:ascii="Calibri" w:hAnsi="Calibri"/>
          <w:i/>
          <w:sz w:val="20"/>
          <w:szCs w:val="20"/>
          <w:lang w:val="hr-HR"/>
        </w:rPr>
        <w:t>Izvor: Ministarstvo financija</w:t>
      </w:r>
    </w:p>
    <w:p w:rsidR="00C77B1F" w:rsidRPr="00861A1A" w:rsidRDefault="00C77B1F" w:rsidP="00E52BDF">
      <w:pPr>
        <w:spacing w:after="120"/>
        <w:rPr>
          <w:rFonts w:ascii="Calibri" w:hAnsi="Calibri"/>
          <w:i/>
          <w:highlight w:val="yellow"/>
          <w:lang w:val="hr-HR"/>
        </w:rPr>
      </w:pPr>
    </w:p>
    <w:p w:rsidR="00E52BDF" w:rsidRPr="0092426E" w:rsidRDefault="005D48F4" w:rsidP="00E52BDF">
      <w:pPr>
        <w:pStyle w:val="Naslov2"/>
        <w:numPr>
          <w:ilvl w:val="1"/>
          <w:numId w:val="1"/>
        </w:numPr>
        <w:rPr>
          <w:lang w:val="hr-HR"/>
        </w:rPr>
      </w:pPr>
      <w:bookmarkStart w:id="32" w:name="_Toc78395759"/>
      <w:r w:rsidRPr="0092426E">
        <w:rPr>
          <w:lang w:val="hr-HR"/>
        </w:rPr>
        <w:t>Manjak/višak konsolidirane opće države</w:t>
      </w:r>
      <w:bookmarkEnd w:id="32"/>
    </w:p>
    <w:p w:rsidR="00E52BDF" w:rsidRPr="00861A1A" w:rsidRDefault="00E52BDF" w:rsidP="00E52BDF">
      <w:pPr>
        <w:rPr>
          <w:highlight w:val="yellow"/>
          <w:lang w:val="hr-HR"/>
        </w:rPr>
      </w:pPr>
    </w:p>
    <w:p w:rsidR="00DE3CA6" w:rsidRPr="008C47FC" w:rsidRDefault="00DE3CA6" w:rsidP="00200865">
      <w:pPr>
        <w:spacing w:after="120"/>
        <w:jc w:val="both"/>
        <w:rPr>
          <w:rFonts w:ascii="Calibri" w:hAnsi="Calibri"/>
          <w:lang w:val="hr-HR"/>
        </w:rPr>
      </w:pPr>
      <w:r w:rsidRPr="008C47FC">
        <w:rPr>
          <w:rFonts w:ascii="Calibri" w:hAnsi="Calibri"/>
          <w:lang w:val="hr-HR"/>
        </w:rPr>
        <w:t xml:space="preserve">U skladu s kretanjima prihoda i rashoda svih razina općeg proračuna, </w:t>
      </w:r>
      <w:r w:rsidR="006012F9" w:rsidRPr="008C47FC">
        <w:rPr>
          <w:rFonts w:ascii="Calibri" w:hAnsi="Calibri"/>
          <w:lang w:val="hr-HR"/>
        </w:rPr>
        <w:t xml:space="preserve">manjak općeg proračuna </w:t>
      </w:r>
      <w:r w:rsidR="00ED6E2C" w:rsidRPr="008C47FC">
        <w:rPr>
          <w:rFonts w:ascii="Calibri" w:hAnsi="Calibri"/>
          <w:lang w:val="hr-HR"/>
        </w:rPr>
        <w:t xml:space="preserve">prema nacionalnoj metodologiji </w:t>
      </w:r>
      <w:r w:rsidR="006012F9" w:rsidRPr="008C47FC">
        <w:rPr>
          <w:rFonts w:ascii="Calibri" w:hAnsi="Calibri"/>
          <w:lang w:val="hr-HR"/>
        </w:rPr>
        <w:t>u 20</w:t>
      </w:r>
      <w:r w:rsidR="00CA62E0" w:rsidRPr="008C47FC">
        <w:rPr>
          <w:rFonts w:ascii="Calibri" w:hAnsi="Calibri"/>
          <w:lang w:val="hr-HR"/>
        </w:rPr>
        <w:t>2</w:t>
      </w:r>
      <w:r w:rsidR="00266D69">
        <w:rPr>
          <w:rFonts w:ascii="Calibri" w:hAnsi="Calibri"/>
          <w:lang w:val="hr-HR"/>
        </w:rPr>
        <w:t>2</w:t>
      </w:r>
      <w:r w:rsidR="006012F9" w:rsidRPr="008C47FC">
        <w:rPr>
          <w:rFonts w:ascii="Calibri" w:hAnsi="Calibri"/>
          <w:lang w:val="hr-HR"/>
        </w:rPr>
        <w:t xml:space="preserve">. </w:t>
      </w:r>
      <w:r w:rsidR="006A5100">
        <w:rPr>
          <w:rFonts w:ascii="Calibri" w:hAnsi="Calibri"/>
          <w:lang w:val="hr-HR"/>
        </w:rPr>
        <w:t xml:space="preserve">i 2023. </w:t>
      </w:r>
      <w:r w:rsidR="006012F9" w:rsidRPr="008C47FC">
        <w:rPr>
          <w:rFonts w:ascii="Calibri" w:hAnsi="Calibri"/>
          <w:lang w:val="hr-HR"/>
        </w:rPr>
        <w:t xml:space="preserve">projicira </w:t>
      </w:r>
      <w:r w:rsidR="006012F9" w:rsidRPr="006A5100">
        <w:rPr>
          <w:rFonts w:ascii="Calibri" w:hAnsi="Calibri"/>
          <w:lang w:val="hr-HR"/>
        </w:rPr>
        <w:t xml:space="preserve">se na razini od </w:t>
      </w:r>
      <w:r w:rsidR="006A5100" w:rsidRPr="006A5100">
        <w:rPr>
          <w:rFonts w:ascii="Calibri" w:hAnsi="Calibri"/>
          <w:lang w:val="hr-HR"/>
        </w:rPr>
        <w:t>1,6</w:t>
      </w:r>
      <w:r w:rsidR="006012F9" w:rsidRPr="006A5100">
        <w:rPr>
          <w:rFonts w:ascii="Calibri" w:hAnsi="Calibri"/>
          <w:lang w:val="hr-HR"/>
        </w:rPr>
        <w:t>% BDP-a</w:t>
      </w:r>
      <w:r w:rsidR="006A5100">
        <w:rPr>
          <w:rFonts w:ascii="Calibri" w:hAnsi="Calibri"/>
          <w:lang w:val="hr-HR"/>
        </w:rPr>
        <w:t xml:space="preserve"> odnosno 0,3% BDP-a dok se u</w:t>
      </w:r>
      <w:r w:rsidR="006012F9" w:rsidRPr="006A5100">
        <w:rPr>
          <w:rFonts w:ascii="Calibri" w:hAnsi="Calibri"/>
          <w:lang w:val="hr-HR"/>
        </w:rPr>
        <w:t xml:space="preserve"> </w:t>
      </w:r>
      <w:r w:rsidR="00CA62E0" w:rsidRPr="006A5100">
        <w:rPr>
          <w:rFonts w:ascii="Calibri" w:hAnsi="Calibri"/>
          <w:lang w:val="hr-HR"/>
        </w:rPr>
        <w:t>202</w:t>
      </w:r>
      <w:r w:rsidR="00266D69" w:rsidRPr="006A5100">
        <w:rPr>
          <w:rFonts w:ascii="Calibri" w:hAnsi="Calibri"/>
          <w:lang w:val="hr-HR"/>
        </w:rPr>
        <w:t>4</w:t>
      </w:r>
      <w:r w:rsidR="006012F9" w:rsidRPr="006A5100">
        <w:rPr>
          <w:rFonts w:ascii="Calibri" w:hAnsi="Calibri"/>
          <w:lang w:val="hr-HR"/>
        </w:rPr>
        <w:t xml:space="preserve">. godini </w:t>
      </w:r>
      <w:r w:rsidR="00B83569" w:rsidRPr="006A5100">
        <w:rPr>
          <w:rFonts w:ascii="Calibri" w:hAnsi="Calibri"/>
          <w:lang w:val="hr-HR"/>
        </w:rPr>
        <w:t xml:space="preserve">očekuje </w:t>
      </w:r>
      <w:r w:rsidR="006A5100" w:rsidRPr="006A5100">
        <w:rPr>
          <w:rFonts w:ascii="Calibri" w:hAnsi="Calibri"/>
          <w:lang w:val="hr-HR"/>
        </w:rPr>
        <w:t>višak</w:t>
      </w:r>
      <w:r w:rsidR="006012F9" w:rsidRPr="006A5100">
        <w:rPr>
          <w:rFonts w:ascii="Calibri" w:hAnsi="Calibri"/>
          <w:lang w:val="hr-HR"/>
        </w:rPr>
        <w:t xml:space="preserve"> od 0,</w:t>
      </w:r>
      <w:r w:rsidR="006A5100" w:rsidRPr="006A5100">
        <w:rPr>
          <w:rFonts w:ascii="Calibri" w:hAnsi="Calibri"/>
          <w:lang w:val="hr-HR"/>
        </w:rPr>
        <w:t>2</w:t>
      </w:r>
      <w:r w:rsidR="006012F9" w:rsidRPr="006A5100">
        <w:rPr>
          <w:rFonts w:ascii="Calibri" w:hAnsi="Calibri"/>
          <w:lang w:val="hr-HR"/>
        </w:rPr>
        <w:t>% BDP-a.</w:t>
      </w:r>
      <w:r w:rsidR="00547DC5" w:rsidRPr="008C47FC">
        <w:rPr>
          <w:rFonts w:ascii="Calibri" w:hAnsi="Calibri"/>
          <w:lang w:val="hr-HR"/>
        </w:rPr>
        <w:t xml:space="preserve"> </w:t>
      </w:r>
      <w:r w:rsidRPr="008C47FC">
        <w:rPr>
          <w:rFonts w:ascii="Calibri" w:hAnsi="Calibri"/>
          <w:lang w:val="hr-HR"/>
        </w:rPr>
        <w:t xml:space="preserve">Pritom </w:t>
      </w:r>
      <w:r w:rsidR="006A5100">
        <w:rPr>
          <w:rFonts w:ascii="Calibri" w:hAnsi="Calibri"/>
          <w:lang w:val="hr-HR"/>
        </w:rPr>
        <w:t>je u 2022. projiciran manjak</w:t>
      </w:r>
      <w:r w:rsidR="00127B13" w:rsidRPr="008C47FC">
        <w:rPr>
          <w:rFonts w:ascii="Calibri" w:hAnsi="Calibri"/>
          <w:lang w:val="hr-HR"/>
        </w:rPr>
        <w:t xml:space="preserve"> </w:t>
      </w:r>
      <w:r w:rsidRPr="008C47FC">
        <w:rPr>
          <w:rFonts w:ascii="Calibri" w:hAnsi="Calibri"/>
          <w:lang w:val="hr-HR"/>
        </w:rPr>
        <w:t>državn</w:t>
      </w:r>
      <w:r w:rsidR="006A5100">
        <w:rPr>
          <w:rFonts w:ascii="Calibri" w:hAnsi="Calibri"/>
          <w:lang w:val="hr-HR"/>
        </w:rPr>
        <w:t xml:space="preserve">og </w:t>
      </w:r>
      <w:r w:rsidRPr="008C47FC">
        <w:rPr>
          <w:rFonts w:ascii="Calibri" w:hAnsi="Calibri"/>
          <w:lang w:val="hr-HR"/>
        </w:rPr>
        <w:t>proračun</w:t>
      </w:r>
      <w:r w:rsidR="006A5100">
        <w:rPr>
          <w:rFonts w:ascii="Calibri" w:hAnsi="Calibri"/>
          <w:lang w:val="hr-HR"/>
        </w:rPr>
        <w:t>a</w:t>
      </w:r>
      <w:r w:rsidR="00127B13" w:rsidRPr="008C47FC">
        <w:rPr>
          <w:rFonts w:ascii="Calibri" w:hAnsi="Calibri"/>
          <w:lang w:val="hr-HR"/>
        </w:rPr>
        <w:t xml:space="preserve"> </w:t>
      </w:r>
      <w:r w:rsidRPr="006A5100">
        <w:rPr>
          <w:rFonts w:ascii="Calibri" w:hAnsi="Calibri"/>
          <w:lang w:val="hr-HR"/>
        </w:rPr>
        <w:t xml:space="preserve">od </w:t>
      </w:r>
      <w:r w:rsidR="006A5100" w:rsidRPr="006A5100">
        <w:rPr>
          <w:rFonts w:ascii="Calibri" w:hAnsi="Calibri"/>
          <w:lang w:val="hr-HR"/>
        </w:rPr>
        <w:t>1,4</w:t>
      </w:r>
      <w:r w:rsidR="00547DC5" w:rsidRPr="006A5100">
        <w:rPr>
          <w:rFonts w:ascii="Calibri" w:hAnsi="Calibri"/>
          <w:lang w:val="hr-HR"/>
        </w:rPr>
        <w:t>%</w:t>
      </w:r>
      <w:r w:rsidR="008211E8" w:rsidRPr="006A5100">
        <w:rPr>
          <w:rFonts w:ascii="Calibri" w:hAnsi="Calibri"/>
          <w:lang w:val="hr-HR"/>
        </w:rPr>
        <w:t xml:space="preserve"> </w:t>
      </w:r>
      <w:r w:rsidRPr="006A5100">
        <w:rPr>
          <w:rFonts w:ascii="Calibri" w:hAnsi="Calibri"/>
          <w:lang w:val="hr-HR"/>
        </w:rPr>
        <w:t>BDP-a, u 20</w:t>
      </w:r>
      <w:r w:rsidR="00547DC5" w:rsidRPr="006A5100">
        <w:rPr>
          <w:rFonts w:ascii="Calibri" w:hAnsi="Calibri"/>
          <w:lang w:val="hr-HR"/>
        </w:rPr>
        <w:t>2</w:t>
      </w:r>
      <w:r w:rsidR="00266D69" w:rsidRPr="006A5100">
        <w:rPr>
          <w:rFonts w:ascii="Calibri" w:hAnsi="Calibri"/>
          <w:lang w:val="hr-HR"/>
        </w:rPr>
        <w:t>3</w:t>
      </w:r>
      <w:r w:rsidRPr="006A5100">
        <w:rPr>
          <w:rFonts w:ascii="Calibri" w:hAnsi="Calibri"/>
          <w:lang w:val="hr-HR"/>
        </w:rPr>
        <w:t xml:space="preserve">. od </w:t>
      </w:r>
      <w:r w:rsidR="006A5100" w:rsidRPr="006A5100">
        <w:rPr>
          <w:rFonts w:ascii="Calibri" w:hAnsi="Calibri"/>
          <w:lang w:val="hr-HR"/>
        </w:rPr>
        <w:t>0,3</w:t>
      </w:r>
      <w:r w:rsidR="00547DC5" w:rsidRPr="006A5100">
        <w:rPr>
          <w:rFonts w:ascii="Calibri" w:hAnsi="Calibri"/>
          <w:lang w:val="hr-HR"/>
        </w:rPr>
        <w:t xml:space="preserve">% </w:t>
      </w:r>
      <w:r w:rsidR="00E17867" w:rsidRPr="006A5100">
        <w:rPr>
          <w:rFonts w:ascii="Calibri" w:hAnsi="Calibri"/>
          <w:lang w:val="hr-HR"/>
        </w:rPr>
        <w:t xml:space="preserve">BDP-a, </w:t>
      </w:r>
      <w:r w:rsidR="00127B13" w:rsidRPr="006A5100">
        <w:rPr>
          <w:rFonts w:ascii="Calibri" w:hAnsi="Calibri"/>
          <w:lang w:val="hr-HR"/>
        </w:rPr>
        <w:t>dok se</w:t>
      </w:r>
      <w:r w:rsidR="00E17867" w:rsidRPr="006A5100">
        <w:rPr>
          <w:rFonts w:ascii="Calibri" w:hAnsi="Calibri"/>
          <w:lang w:val="hr-HR"/>
        </w:rPr>
        <w:t xml:space="preserve"> u 202</w:t>
      </w:r>
      <w:r w:rsidR="00266D69" w:rsidRPr="006A5100">
        <w:rPr>
          <w:rFonts w:ascii="Calibri" w:hAnsi="Calibri"/>
          <w:lang w:val="hr-HR"/>
        </w:rPr>
        <w:t>4</w:t>
      </w:r>
      <w:r w:rsidRPr="006A5100">
        <w:rPr>
          <w:rFonts w:ascii="Calibri" w:hAnsi="Calibri"/>
          <w:lang w:val="hr-HR"/>
        </w:rPr>
        <w:t xml:space="preserve">. godini </w:t>
      </w:r>
      <w:r w:rsidR="00E17867" w:rsidRPr="006A5100">
        <w:rPr>
          <w:rFonts w:ascii="Calibri" w:hAnsi="Calibri"/>
          <w:lang w:val="hr-HR"/>
        </w:rPr>
        <w:t xml:space="preserve">očekuje </w:t>
      </w:r>
      <w:r w:rsidR="006A5100">
        <w:rPr>
          <w:rFonts w:ascii="Calibri" w:hAnsi="Calibri"/>
          <w:lang w:val="hr-HR"/>
        </w:rPr>
        <w:t xml:space="preserve">njegov </w:t>
      </w:r>
      <w:r w:rsidR="006A5100" w:rsidRPr="006A5100">
        <w:rPr>
          <w:rFonts w:ascii="Calibri" w:hAnsi="Calibri"/>
          <w:lang w:val="hr-HR"/>
        </w:rPr>
        <w:t xml:space="preserve">višak </w:t>
      </w:r>
      <w:r w:rsidR="006A5100">
        <w:rPr>
          <w:rFonts w:ascii="Calibri" w:hAnsi="Calibri"/>
          <w:lang w:val="hr-HR"/>
        </w:rPr>
        <w:t>od</w:t>
      </w:r>
      <w:r w:rsidR="00E17867" w:rsidRPr="006A5100">
        <w:rPr>
          <w:rFonts w:ascii="Calibri" w:hAnsi="Calibri"/>
          <w:lang w:val="hr-HR"/>
        </w:rPr>
        <w:t xml:space="preserve"> </w:t>
      </w:r>
      <w:r w:rsidR="00ED6E2C" w:rsidRPr="006A5100">
        <w:rPr>
          <w:rFonts w:ascii="Calibri" w:hAnsi="Calibri"/>
          <w:lang w:val="hr-HR"/>
        </w:rPr>
        <w:t>0,</w:t>
      </w:r>
      <w:r w:rsidR="00580768">
        <w:rPr>
          <w:rFonts w:ascii="Calibri" w:hAnsi="Calibri"/>
          <w:lang w:val="hr-HR"/>
        </w:rPr>
        <w:t>5</w:t>
      </w:r>
      <w:r w:rsidR="00ED6E2C" w:rsidRPr="006A5100">
        <w:rPr>
          <w:rFonts w:ascii="Calibri" w:hAnsi="Calibri"/>
          <w:lang w:val="hr-HR"/>
        </w:rPr>
        <w:t>% BDP-a</w:t>
      </w:r>
      <w:r w:rsidR="00E17867" w:rsidRPr="006A5100">
        <w:rPr>
          <w:rFonts w:ascii="Calibri" w:hAnsi="Calibri"/>
          <w:lang w:val="hr-HR"/>
        </w:rPr>
        <w:t>.</w:t>
      </w:r>
      <w:r w:rsidR="00E17867" w:rsidRPr="008C47FC">
        <w:rPr>
          <w:rFonts w:ascii="Calibri" w:hAnsi="Calibri"/>
          <w:lang w:val="hr-HR"/>
        </w:rPr>
        <w:t xml:space="preserve"> </w:t>
      </w:r>
      <w:r w:rsidR="006A5100" w:rsidRPr="00833018">
        <w:rPr>
          <w:rFonts w:ascii="Calibri" w:hAnsi="Calibri"/>
          <w:lang w:val="hr-HR"/>
        </w:rPr>
        <w:t>U promatranom srednjoročnom razdoblju očekuje se</w:t>
      </w:r>
      <w:r w:rsidR="00833018" w:rsidRPr="00833018">
        <w:rPr>
          <w:rFonts w:ascii="Calibri" w:hAnsi="Calibri"/>
          <w:lang w:val="hr-HR"/>
        </w:rPr>
        <w:t xml:space="preserve"> kod izvanproračunskih korisnika državnog proračuna višak prihoda nad rashodima </w:t>
      </w:r>
      <w:r w:rsidR="00B83569" w:rsidRPr="00833018">
        <w:rPr>
          <w:rFonts w:ascii="Calibri" w:hAnsi="Calibri"/>
          <w:lang w:val="hr-HR"/>
        </w:rPr>
        <w:t>i to u prosječnom iznosu od 0,</w:t>
      </w:r>
      <w:r w:rsidR="00833018" w:rsidRPr="00833018">
        <w:rPr>
          <w:rFonts w:ascii="Calibri" w:hAnsi="Calibri"/>
          <w:lang w:val="hr-HR"/>
        </w:rPr>
        <w:t>4</w:t>
      </w:r>
      <w:r w:rsidR="00B83569" w:rsidRPr="00833018">
        <w:rPr>
          <w:rFonts w:ascii="Calibri" w:hAnsi="Calibri"/>
          <w:lang w:val="hr-HR"/>
        </w:rPr>
        <w:t>% BDP-a.</w:t>
      </w:r>
      <w:r w:rsidRPr="008C47FC">
        <w:rPr>
          <w:rFonts w:ascii="Calibri" w:hAnsi="Calibri"/>
          <w:lang w:val="hr-HR"/>
        </w:rPr>
        <w:t xml:space="preserve"> </w:t>
      </w:r>
      <w:r w:rsidR="00833018" w:rsidRPr="00833018">
        <w:rPr>
          <w:rFonts w:ascii="Calibri" w:hAnsi="Calibri"/>
          <w:lang w:val="hr-HR"/>
        </w:rPr>
        <w:t>Istodobno, j</w:t>
      </w:r>
      <w:r w:rsidR="00E17867" w:rsidRPr="00833018">
        <w:rPr>
          <w:rFonts w:ascii="Calibri" w:hAnsi="Calibri"/>
          <w:lang w:val="hr-HR"/>
        </w:rPr>
        <w:t>edinice lokalne i područne (regionalne) samouprave</w:t>
      </w:r>
      <w:r w:rsidRPr="00833018">
        <w:rPr>
          <w:rFonts w:ascii="Calibri" w:hAnsi="Calibri"/>
          <w:lang w:val="hr-HR"/>
        </w:rPr>
        <w:t xml:space="preserve"> </w:t>
      </w:r>
      <w:r w:rsidR="00B83569" w:rsidRPr="00833018">
        <w:rPr>
          <w:rFonts w:ascii="Calibri" w:hAnsi="Calibri"/>
          <w:lang w:val="hr-HR"/>
        </w:rPr>
        <w:t xml:space="preserve">zabilježit će </w:t>
      </w:r>
      <w:r w:rsidR="00ED6E2C" w:rsidRPr="00833018">
        <w:rPr>
          <w:rFonts w:ascii="Calibri" w:hAnsi="Calibri"/>
          <w:lang w:val="hr-HR"/>
        </w:rPr>
        <w:t>manjak</w:t>
      </w:r>
      <w:r w:rsidRPr="00833018">
        <w:rPr>
          <w:rFonts w:ascii="Calibri" w:hAnsi="Calibri"/>
          <w:lang w:val="hr-HR"/>
        </w:rPr>
        <w:t xml:space="preserve"> od 0,</w:t>
      </w:r>
      <w:r w:rsidR="00266D69" w:rsidRPr="00833018">
        <w:rPr>
          <w:rFonts w:ascii="Calibri" w:hAnsi="Calibri"/>
          <w:lang w:val="hr-HR"/>
        </w:rPr>
        <w:t>5% BDP-a</w:t>
      </w:r>
      <w:r w:rsidR="00833018" w:rsidRPr="00833018">
        <w:rPr>
          <w:rFonts w:ascii="Calibri" w:hAnsi="Calibri"/>
          <w:lang w:val="hr-HR"/>
        </w:rPr>
        <w:t>.</w:t>
      </w:r>
      <w:r w:rsidR="00266D69" w:rsidRPr="00833018">
        <w:rPr>
          <w:rFonts w:ascii="Calibri" w:hAnsi="Calibri"/>
          <w:lang w:val="hr-HR"/>
        </w:rPr>
        <w:t xml:space="preserve"> </w:t>
      </w:r>
    </w:p>
    <w:p w:rsidR="002A45C2" w:rsidRPr="008C47FC" w:rsidRDefault="002A45C2" w:rsidP="00200865">
      <w:pPr>
        <w:spacing w:after="120"/>
        <w:jc w:val="both"/>
        <w:rPr>
          <w:rFonts w:ascii="Calibri" w:hAnsi="Calibri"/>
          <w:lang w:val="hr-HR"/>
        </w:rPr>
      </w:pPr>
      <w:r w:rsidRPr="008C47FC">
        <w:rPr>
          <w:rFonts w:ascii="Calibri" w:hAnsi="Calibri"/>
          <w:lang w:val="hr-HR"/>
        </w:rPr>
        <w:t xml:space="preserve">Kada se ovim veličinama pridodaju </w:t>
      </w:r>
      <w:r w:rsidR="004E5B14" w:rsidRPr="008C47FC">
        <w:rPr>
          <w:rFonts w:ascii="Calibri" w:hAnsi="Calibri"/>
          <w:lang w:val="hr-HR"/>
        </w:rPr>
        <w:t xml:space="preserve">prilagodbe nacionalne metodologije računskog plana </w:t>
      </w:r>
      <w:r w:rsidR="0008422F" w:rsidRPr="008C47FC">
        <w:rPr>
          <w:rFonts w:ascii="Calibri" w:hAnsi="Calibri"/>
          <w:lang w:val="hr-HR"/>
        </w:rPr>
        <w:t xml:space="preserve">metodologiji </w:t>
      </w:r>
      <w:r w:rsidR="004E5B14" w:rsidRPr="008C47FC">
        <w:rPr>
          <w:rFonts w:ascii="Calibri" w:hAnsi="Calibri"/>
          <w:lang w:val="hr-HR"/>
        </w:rPr>
        <w:t xml:space="preserve">ESA 2010 </w:t>
      </w:r>
      <w:r w:rsidR="0008422F" w:rsidRPr="008C47FC">
        <w:rPr>
          <w:rFonts w:ascii="Calibri" w:hAnsi="Calibri"/>
          <w:lang w:val="hr-HR"/>
        </w:rPr>
        <w:t>te</w:t>
      </w:r>
      <w:r w:rsidR="00D66105" w:rsidRPr="008C47FC">
        <w:rPr>
          <w:rFonts w:ascii="Calibri" w:hAnsi="Calibri"/>
          <w:lang w:val="hr-HR"/>
        </w:rPr>
        <w:t xml:space="preserve"> </w:t>
      </w:r>
      <w:r w:rsidRPr="008C47FC">
        <w:rPr>
          <w:rFonts w:ascii="Calibri" w:hAnsi="Calibri"/>
          <w:lang w:val="hr-HR"/>
        </w:rPr>
        <w:t xml:space="preserve">projekcije manjka/viška </w:t>
      </w:r>
      <w:r w:rsidR="00547DC5" w:rsidRPr="008C47FC">
        <w:rPr>
          <w:rFonts w:ascii="Calibri" w:hAnsi="Calibri"/>
          <w:lang w:val="hr-HR"/>
        </w:rPr>
        <w:t>ostalih pravnih osoba</w:t>
      </w:r>
      <w:r w:rsidRPr="008C47FC">
        <w:rPr>
          <w:rFonts w:ascii="Calibri" w:hAnsi="Calibri"/>
          <w:lang w:val="hr-HR"/>
        </w:rPr>
        <w:t xml:space="preserve"> koje su </w:t>
      </w:r>
      <w:r w:rsidR="00547DC5" w:rsidRPr="008C47FC">
        <w:rPr>
          <w:rFonts w:ascii="Calibri" w:hAnsi="Calibri"/>
          <w:lang w:val="hr-HR"/>
        </w:rPr>
        <w:t xml:space="preserve">statistički </w:t>
      </w:r>
      <w:r w:rsidRPr="008C47FC">
        <w:rPr>
          <w:rFonts w:ascii="Calibri" w:hAnsi="Calibri"/>
          <w:lang w:val="hr-HR"/>
        </w:rPr>
        <w:t>uključene u sektor opće drža</w:t>
      </w:r>
      <w:r w:rsidR="00D66105" w:rsidRPr="008C47FC">
        <w:rPr>
          <w:rFonts w:ascii="Calibri" w:hAnsi="Calibri"/>
          <w:lang w:val="hr-HR"/>
        </w:rPr>
        <w:t xml:space="preserve">ve, </w:t>
      </w:r>
      <w:r w:rsidRPr="008C47FC">
        <w:rPr>
          <w:rFonts w:ascii="Calibri" w:hAnsi="Calibri"/>
          <w:lang w:val="hr-HR"/>
        </w:rPr>
        <w:t xml:space="preserve">očekuje se </w:t>
      </w:r>
      <w:r w:rsidR="0049191F" w:rsidRPr="008C47FC">
        <w:rPr>
          <w:rFonts w:ascii="Calibri" w:hAnsi="Calibri"/>
          <w:lang w:val="hr-HR"/>
        </w:rPr>
        <w:t xml:space="preserve">da će planirani </w:t>
      </w:r>
      <w:r w:rsidR="00B83569" w:rsidRPr="008C47FC">
        <w:rPr>
          <w:rFonts w:ascii="Calibri" w:hAnsi="Calibri"/>
          <w:lang w:val="hr-HR"/>
        </w:rPr>
        <w:t xml:space="preserve">manjak </w:t>
      </w:r>
      <w:r w:rsidR="0049191F" w:rsidRPr="008C47FC">
        <w:rPr>
          <w:rFonts w:ascii="Calibri" w:hAnsi="Calibri"/>
          <w:lang w:val="hr-HR"/>
        </w:rPr>
        <w:t>općeg proračuna iznos</w:t>
      </w:r>
      <w:r w:rsidR="0049191F" w:rsidRPr="00230A60">
        <w:rPr>
          <w:rFonts w:ascii="Calibri" w:hAnsi="Calibri"/>
          <w:lang w:val="hr-HR"/>
        </w:rPr>
        <w:t xml:space="preserve">iti </w:t>
      </w:r>
      <w:r w:rsidR="00B83569" w:rsidRPr="00230A60">
        <w:rPr>
          <w:rFonts w:ascii="Calibri" w:hAnsi="Calibri"/>
          <w:lang w:val="hr-HR"/>
        </w:rPr>
        <w:t>2,</w:t>
      </w:r>
      <w:r w:rsidR="00230A60" w:rsidRPr="00230A60">
        <w:rPr>
          <w:rFonts w:ascii="Calibri" w:hAnsi="Calibri"/>
          <w:lang w:val="hr-HR"/>
        </w:rPr>
        <w:t>6</w:t>
      </w:r>
      <w:r w:rsidR="00CA62E0" w:rsidRPr="00230A60">
        <w:rPr>
          <w:rFonts w:ascii="Calibri" w:hAnsi="Calibri"/>
          <w:lang w:val="hr-HR"/>
        </w:rPr>
        <w:t>% BDP-a u 202</w:t>
      </w:r>
      <w:r w:rsidR="00266D69" w:rsidRPr="00230A60">
        <w:rPr>
          <w:rFonts w:ascii="Calibri" w:hAnsi="Calibri"/>
          <w:lang w:val="hr-HR"/>
        </w:rPr>
        <w:t>2</w:t>
      </w:r>
      <w:r w:rsidR="0049191F" w:rsidRPr="00230A60">
        <w:rPr>
          <w:rFonts w:ascii="Calibri" w:hAnsi="Calibri"/>
          <w:lang w:val="hr-HR"/>
        </w:rPr>
        <w:t xml:space="preserve">. </w:t>
      </w:r>
      <w:r w:rsidR="00CA62E0" w:rsidRPr="00230A60">
        <w:rPr>
          <w:rFonts w:ascii="Calibri" w:hAnsi="Calibri"/>
          <w:lang w:val="hr-HR"/>
        </w:rPr>
        <w:t>godin</w:t>
      </w:r>
      <w:r w:rsidR="00CA62E0" w:rsidRPr="008C47FC">
        <w:rPr>
          <w:rFonts w:ascii="Calibri" w:hAnsi="Calibri"/>
          <w:lang w:val="hr-HR"/>
        </w:rPr>
        <w:t>i. U 202</w:t>
      </w:r>
      <w:r w:rsidR="00266D69">
        <w:rPr>
          <w:rFonts w:ascii="Calibri" w:hAnsi="Calibri"/>
          <w:lang w:val="hr-HR"/>
        </w:rPr>
        <w:t>3</w:t>
      </w:r>
      <w:r w:rsidR="00ED6E2C" w:rsidRPr="008C47FC">
        <w:rPr>
          <w:rFonts w:ascii="Calibri" w:hAnsi="Calibri"/>
          <w:lang w:val="hr-HR"/>
        </w:rPr>
        <w:t xml:space="preserve">. projiciran je </w:t>
      </w:r>
      <w:r w:rsidR="00B83569" w:rsidRPr="008C47FC">
        <w:rPr>
          <w:rFonts w:ascii="Calibri" w:hAnsi="Calibri"/>
          <w:lang w:val="hr-HR"/>
        </w:rPr>
        <w:t>manjak</w:t>
      </w:r>
      <w:r w:rsidR="00ED6E2C" w:rsidRPr="008C47FC">
        <w:rPr>
          <w:rFonts w:ascii="Calibri" w:hAnsi="Calibri"/>
          <w:lang w:val="hr-HR"/>
        </w:rPr>
        <w:t xml:space="preserve"> </w:t>
      </w:r>
      <w:r w:rsidR="0049191F" w:rsidRPr="008C47FC">
        <w:rPr>
          <w:rFonts w:ascii="Calibri" w:hAnsi="Calibri"/>
          <w:lang w:val="hr-HR"/>
        </w:rPr>
        <w:t xml:space="preserve">proračuna </w:t>
      </w:r>
      <w:r w:rsidR="00ED6E2C" w:rsidRPr="00230A60">
        <w:rPr>
          <w:rFonts w:ascii="Calibri" w:hAnsi="Calibri"/>
          <w:lang w:val="hr-HR"/>
        </w:rPr>
        <w:t xml:space="preserve">od </w:t>
      </w:r>
      <w:r w:rsidR="00230A60" w:rsidRPr="00230A60">
        <w:rPr>
          <w:rFonts w:ascii="Calibri" w:hAnsi="Calibri"/>
          <w:lang w:val="hr-HR"/>
        </w:rPr>
        <w:t>1</w:t>
      </w:r>
      <w:r w:rsidR="00B83569" w:rsidRPr="00230A60">
        <w:rPr>
          <w:rFonts w:ascii="Calibri" w:hAnsi="Calibri"/>
          <w:lang w:val="hr-HR"/>
        </w:rPr>
        <w:t>,</w:t>
      </w:r>
      <w:r w:rsidR="00230A60" w:rsidRPr="00230A60">
        <w:rPr>
          <w:rFonts w:ascii="Calibri" w:hAnsi="Calibri"/>
          <w:lang w:val="hr-HR"/>
        </w:rPr>
        <w:t>9</w:t>
      </w:r>
      <w:r w:rsidR="00ED6E2C" w:rsidRPr="00230A60">
        <w:rPr>
          <w:rFonts w:ascii="Calibri" w:hAnsi="Calibri"/>
          <w:lang w:val="hr-HR"/>
        </w:rPr>
        <w:t>% BDP</w:t>
      </w:r>
      <w:r w:rsidR="00ED6E2C" w:rsidRPr="008C47FC">
        <w:rPr>
          <w:rFonts w:ascii="Calibri" w:hAnsi="Calibri"/>
          <w:lang w:val="hr-HR"/>
        </w:rPr>
        <w:t>-a, a</w:t>
      </w:r>
      <w:r w:rsidR="00CA62E0" w:rsidRPr="008C47FC">
        <w:rPr>
          <w:rFonts w:ascii="Calibri" w:hAnsi="Calibri"/>
          <w:lang w:val="hr-HR"/>
        </w:rPr>
        <w:t xml:space="preserve"> u 202</w:t>
      </w:r>
      <w:r w:rsidR="00266D69">
        <w:rPr>
          <w:rFonts w:ascii="Calibri" w:hAnsi="Calibri"/>
          <w:lang w:val="hr-HR"/>
        </w:rPr>
        <w:t>4</w:t>
      </w:r>
      <w:r w:rsidR="0049191F" w:rsidRPr="008C47FC">
        <w:rPr>
          <w:rFonts w:ascii="Calibri" w:hAnsi="Calibri"/>
          <w:lang w:val="hr-HR"/>
        </w:rPr>
        <w:t xml:space="preserve">. godini očekuje </w:t>
      </w:r>
      <w:r w:rsidR="00ED6E2C" w:rsidRPr="008C47FC">
        <w:rPr>
          <w:rFonts w:ascii="Calibri" w:hAnsi="Calibri"/>
          <w:lang w:val="hr-HR"/>
        </w:rPr>
        <w:t xml:space="preserve">se </w:t>
      </w:r>
      <w:r w:rsidR="00B83569" w:rsidRPr="00230A60">
        <w:rPr>
          <w:rFonts w:ascii="Calibri" w:hAnsi="Calibri"/>
          <w:lang w:val="hr-HR"/>
        </w:rPr>
        <w:t>manjak</w:t>
      </w:r>
      <w:r w:rsidR="0049191F" w:rsidRPr="00230A60">
        <w:rPr>
          <w:rFonts w:ascii="Calibri" w:hAnsi="Calibri"/>
          <w:lang w:val="hr-HR"/>
        </w:rPr>
        <w:t xml:space="preserve"> od </w:t>
      </w:r>
      <w:r w:rsidR="00B83569" w:rsidRPr="00230A60">
        <w:rPr>
          <w:rFonts w:ascii="Calibri" w:hAnsi="Calibri"/>
          <w:lang w:val="hr-HR"/>
        </w:rPr>
        <w:t>1,</w:t>
      </w:r>
      <w:r w:rsidR="00230A60" w:rsidRPr="00230A60">
        <w:rPr>
          <w:rFonts w:ascii="Calibri" w:hAnsi="Calibri"/>
          <w:lang w:val="hr-HR"/>
        </w:rPr>
        <w:t>5</w:t>
      </w:r>
      <w:r w:rsidR="00ED6E2C" w:rsidRPr="00230A60">
        <w:rPr>
          <w:rFonts w:ascii="Calibri" w:hAnsi="Calibri"/>
          <w:lang w:val="hr-HR"/>
        </w:rPr>
        <w:t>%</w:t>
      </w:r>
      <w:r w:rsidR="0049191F" w:rsidRPr="00230A60">
        <w:rPr>
          <w:rFonts w:ascii="Calibri" w:hAnsi="Calibri"/>
          <w:lang w:val="hr-HR"/>
        </w:rPr>
        <w:t xml:space="preserve"> BDP-a.</w:t>
      </w:r>
    </w:p>
    <w:p w:rsidR="00C34746" w:rsidRPr="00416D9B" w:rsidRDefault="00C34746" w:rsidP="00200865">
      <w:pPr>
        <w:spacing w:after="120"/>
        <w:jc w:val="both"/>
        <w:rPr>
          <w:rFonts w:ascii="Calibri" w:hAnsi="Calibri"/>
          <w:highlight w:val="yellow"/>
          <w:lang w:val="hr-HR"/>
        </w:rPr>
      </w:pPr>
    </w:p>
    <w:p w:rsidR="00C34746" w:rsidRPr="00416D9B" w:rsidRDefault="00C34746" w:rsidP="00200865">
      <w:pPr>
        <w:spacing w:after="120"/>
        <w:jc w:val="both"/>
        <w:rPr>
          <w:rFonts w:ascii="Calibri" w:hAnsi="Calibri"/>
          <w:highlight w:val="yellow"/>
          <w:lang w:val="hr-HR"/>
        </w:rPr>
      </w:pPr>
    </w:p>
    <w:p w:rsidR="00C34746" w:rsidRPr="00416D9B" w:rsidRDefault="00C34746" w:rsidP="00200865">
      <w:pPr>
        <w:spacing w:after="120"/>
        <w:jc w:val="both"/>
        <w:rPr>
          <w:rFonts w:ascii="Calibri" w:hAnsi="Calibri"/>
          <w:highlight w:val="yellow"/>
          <w:lang w:val="hr-HR"/>
        </w:rPr>
      </w:pPr>
    </w:p>
    <w:p w:rsidR="00C34746" w:rsidRPr="00416D9B" w:rsidRDefault="00C34746" w:rsidP="00200865">
      <w:pPr>
        <w:spacing w:after="120"/>
        <w:jc w:val="both"/>
        <w:rPr>
          <w:rFonts w:ascii="Calibri" w:hAnsi="Calibri"/>
          <w:highlight w:val="yellow"/>
          <w:lang w:val="hr-HR"/>
        </w:rPr>
      </w:pPr>
    </w:p>
    <w:p w:rsidR="00C34746" w:rsidRPr="00416D9B" w:rsidRDefault="00C34746" w:rsidP="00200865">
      <w:pPr>
        <w:spacing w:after="120"/>
        <w:jc w:val="both"/>
        <w:rPr>
          <w:rFonts w:ascii="Calibri" w:hAnsi="Calibri"/>
          <w:highlight w:val="yellow"/>
          <w:lang w:val="hr-HR"/>
        </w:rPr>
      </w:pPr>
    </w:p>
    <w:p w:rsidR="00DE3CA6" w:rsidRPr="006A5100" w:rsidRDefault="00DE3CA6" w:rsidP="005E70AA">
      <w:pPr>
        <w:spacing w:after="120"/>
        <w:jc w:val="both"/>
        <w:rPr>
          <w:rFonts w:ascii="Calibri" w:hAnsi="Calibri"/>
          <w:i/>
          <w:lang w:val="hr-HR"/>
        </w:rPr>
      </w:pPr>
      <w:bookmarkStart w:id="33" w:name="_Toc78395000"/>
      <w:r w:rsidRPr="006A5100">
        <w:rPr>
          <w:rFonts w:ascii="Calibri" w:hAnsi="Calibri"/>
          <w:i/>
          <w:lang w:val="hr-HR"/>
        </w:rPr>
        <w:t xml:space="preserve">Tablica </w:t>
      </w:r>
      <w:r w:rsidRPr="006A5100">
        <w:rPr>
          <w:rFonts w:ascii="Calibri" w:hAnsi="Calibri"/>
          <w:i/>
          <w:lang w:val="hr-HR"/>
        </w:rPr>
        <w:fldChar w:fldCharType="begin"/>
      </w:r>
      <w:r w:rsidRPr="006A5100">
        <w:rPr>
          <w:rFonts w:ascii="Calibri" w:hAnsi="Calibri"/>
          <w:i/>
          <w:lang w:val="hr-HR"/>
        </w:rPr>
        <w:instrText xml:space="preserve"> SEQ Tablica \* ARABIC </w:instrText>
      </w:r>
      <w:r w:rsidRPr="006A5100">
        <w:rPr>
          <w:rFonts w:ascii="Calibri" w:hAnsi="Calibri"/>
          <w:i/>
          <w:lang w:val="hr-HR"/>
        </w:rPr>
        <w:fldChar w:fldCharType="separate"/>
      </w:r>
      <w:r w:rsidR="00F17D56">
        <w:rPr>
          <w:rFonts w:ascii="Calibri" w:hAnsi="Calibri"/>
          <w:i/>
          <w:noProof/>
          <w:lang w:val="hr-HR"/>
        </w:rPr>
        <w:t>8</w:t>
      </w:r>
      <w:r w:rsidRPr="006A5100">
        <w:rPr>
          <w:rFonts w:ascii="Calibri" w:hAnsi="Calibri"/>
          <w:i/>
          <w:lang w:val="hr-HR"/>
        </w:rPr>
        <w:fldChar w:fldCharType="end"/>
      </w:r>
      <w:r w:rsidRPr="006A5100">
        <w:rPr>
          <w:rFonts w:ascii="Calibri" w:hAnsi="Calibri"/>
          <w:i/>
          <w:lang w:val="hr-HR"/>
        </w:rPr>
        <w:t xml:space="preserve">: </w:t>
      </w:r>
      <w:r w:rsidR="005E70AA" w:rsidRPr="006A5100">
        <w:rPr>
          <w:rFonts w:ascii="Calibri" w:hAnsi="Calibri"/>
          <w:i/>
          <w:lang w:val="hr-HR"/>
        </w:rPr>
        <w:t>Manjak/višak općeg proračuna u razdoblju 20</w:t>
      </w:r>
      <w:r w:rsidR="008C47FC" w:rsidRPr="006A5100">
        <w:rPr>
          <w:rFonts w:ascii="Calibri" w:hAnsi="Calibri"/>
          <w:i/>
          <w:lang w:val="hr-HR"/>
        </w:rPr>
        <w:t>20</w:t>
      </w:r>
      <w:r w:rsidR="005E70AA" w:rsidRPr="006A5100">
        <w:rPr>
          <w:rFonts w:ascii="Calibri" w:hAnsi="Calibri"/>
          <w:i/>
          <w:lang w:val="hr-HR"/>
        </w:rPr>
        <w:t>. – 202</w:t>
      </w:r>
      <w:r w:rsidR="008C47FC" w:rsidRPr="006A5100">
        <w:rPr>
          <w:rFonts w:ascii="Calibri" w:hAnsi="Calibri"/>
          <w:i/>
          <w:lang w:val="hr-HR"/>
        </w:rPr>
        <w:t>4</w:t>
      </w:r>
      <w:r w:rsidR="005E70AA" w:rsidRPr="006A5100">
        <w:rPr>
          <w:rFonts w:ascii="Calibri" w:hAnsi="Calibri"/>
          <w:i/>
          <w:lang w:val="hr-HR"/>
        </w:rPr>
        <w:t>., nacionalna i ESA 2010 metodologija</w:t>
      </w:r>
      <w:bookmarkEnd w:id="33"/>
    </w:p>
    <w:p w:rsidR="00DE3CA6" w:rsidRPr="00416D9B" w:rsidRDefault="00BF4977" w:rsidP="00DE3CA6">
      <w:pPr>
        <w:spacing w:after="120"/>
        <w:rPr>
          <w:rFonts w:ascii="Calibri" w:hAnsi="Calibri"/>
          <w:highlight w:val="yellow"/>
          <w:lang w:val="hr-HR"/>
        </w:rPr>
      </w:pPr>
      <w:r w:rsidRPr="00BF4977">
        <w:rPr>
          <w:noProof/>
          <w:lang w:val="hr-HR" w:eastAsia="hr-HR"/>
        </w:rPr>
        <w:lastRenderedPageBreak/>
        <w:drawing>
          <wp:inline distT="0" distB="0" distL="0" distR="0">
            <wp:extent cx="5760720" cy="4475776"/>
            <wp:effectExtent l="0" t="0" r="0" b="127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475776"/>
                    </a:xfrm>
                    <a:prstGeom prst="rect">
                      <a:avLst/>
                    </a:prstGeom>
                    <a:noFill/>
                    <a:ln>
                      <a:noFill/>
                    </a:ln>
                  </pic:spPr>
                </pic:pic>
              </a:graphicData>
            </a:graphic>
          </wp:inline>
        </w:drawing>
      </w:r>
    </w:p>
    <w:p w:rsidR="00DE3CA6" w:rsidRDefault="00DE3CA6" w:rsidP="00DE3CA6">
      <w:pPr>
        <w:spacing w:after="120"/>
        <w:rPr>
          <w:rFonts w:ascii="Calibri" w:hAnsi="Calibri"/>
          <w:i/>
          <w:sz w:val="20"/>
          <w:szCs w:val="20"/>
          <w:lang w:val="hr-HR"/>
        </w:rPr>
      </w:pPr>
      <w:r w:rsidRPr="006A5100">
        <w:rPr>
          <w:rFonts w:ascii="Calibri" w:hAnsi="Calibri"/>
          <w:i/>
          <w:sz w:val="20"/>
          <w:szCs w:val="20"/>
          <w:lang w:val="hr-HR"/>
        </w:rPr>
        <w:t>Izvor: Ministarstvo financija</w:t>
      </w:r>
    </w:p>
    <w:p w:rsidR="00B83569" w:rsidRPr="00B83569" w:rsidRDefault="00B83569" w:rsidP="00DE3CA6">
      <w:pPr>
        <w:spacing w:after="120"/>
        <w:rPr>
          <w:rFonts w:ascii="Calibri" w:hAnsi="Calibri"/>
          <w:i/>
          <w:sz w:val="20"/>
          <w:szCs w:val="20"/>
          <w:lang w:val="hr-HR"/>
        </w:rPr>
      </w:pPr>
    </w:p>
    <w:p w:rsidR="00DE3CA6" w:rsidRPr="00FF2ABF" w:rsidRDefault="003D2EF3" w:rsidP="003D2EF3">
      <w:pPr>
        <w:pStyle w:val="Naslov2"/>
        <w:numPr>
          <w:ilvl w:val="1"/>
          <w:numId w:val="1"/>
        </w:numPr>
        <w:rPr>
          <w:lang w:val="hr-HR"/>
        </w:rPr>
      </w:pPr>
      <w:bookmarkStart w:id="34" w:name="_Toc78395760"/>
      <w:r w:rsidRPr="00FF2ABF">
        <w:rPr>
          <w:lang w:val="hr-HR"/>
        </w:rPr>
        <w:t>Stanje i projekcija kretanja javnog duga</w:t>
      </w:r>
      <w:bookmarkEnd w:id="34"/>
    </w:p>
    <w:p w:rsidR="00DE3CA6" w:rsidRPr="00FF2ABF" w:rsidRDefault="00DE3CA6" w:rsidP="003D2EF3">
      <w:pPr>
        <w:spacing w:after="120"/>
        <w:jc w:val="both"/>
        <w:rPr>
          <w:rFonts w:ascii="Calibri" w:hAnsi="Calibri"/>
          <w:lang w:val="hr-HR"/>
        </w:rPr>
      </w:pPr>
    </w:p>
    <w:p w:rsidR="00CA62E0" w:rsidRDefault="00A92827" w:rsidP="00A92827">
      <w:pPr>
        <w:spacing w:after="120"/>
        <w:jc w:val="both"/>
        <w:rPr>
          <w:rFonts w:ascii="Calibri" w:hAnsi="Calibri"/>
          <w:lang w:val="hr-HR"/>
        </w:rPr>
      </w:pPr>
      <w:r w:rsidRPr="00FF2ABF">
        <w:rPr>
          <w:rFonts w:ascii="Calibri" w:hAnsi="Calibri"/>
          <w:lang w:val="hr-HR"/>
        </w:rPr>
        <w:t>Temeljem kretanja fiskalnog salda proračuna opće države očekuje se da će udio javnog duga u BDP-u u 20</w:t>
      </w:r>
      <w:r w:rsidR="004A1C4A" w:rsidRPr="00FF2ABF">
        <w:rPr>
          <w:rFonts w:ascii="Calibri" w:hAnsi="Calibri"/>
          <w:lang w:val="hr-HR"/>
        </w:rPr>
        <w:t>2</w:t>
      </w:r>
      <w:r w:rsidR="005F0979">
        <w:rPr>
          <w:rFonts w:ascii="Calibri" w:hAnsi="Calibri"/>
          <w:lang w:val="hr-HR"/>
        </w:rPr>
        <w:t>2</w:t>
      </w:r>
      <w:r w:rsidRPr="00FF2ABF">
        <w:rPr>
          <w:rFonts w:ascii="Calibri" w:hAnsi="Calibri"/>
          <w:lang w:val="hr-HR"/>
        </w:rPr>
        <w:t xml:space="preserve">. godini zabilježiti </w:t>
      </w:r>
      <w:r w:rsidR="00A63EC7">
        <w:rPr>
          <w:rFonts w:ascii="Calibri" w:hAnsi="Calibri"/>
          <w:lang w:val="hr-HR"/>
        </w:rPr>
        <w:t>smanjenje</w:t>
      </w:r>
      <w:r w:rsidR="004A1C4A" w:rsidRPr="00FF2ABF">
        <w:rPr>
          <w:rFonts w:ascii="Calibri" w:hAnsi="Calibri"/>
          <w:lang w:val="hr-HR"/>
        </w:rPr>
        <w:t xml:space="preserve"> </w:t>
      </w:r>
      <w:r w:rsidRPr="00FF2ABF">
        <w:rPr>
          <w:rFonts w:ascii="Calibri" w:hAnsi="Calibri"/>
          <w:lang w:val="hr-HR"/>
        </w:rPr>
        <w:t xml:space="preserve">za </w:t>
      </w:r>
      <w:r w:rsidR="005F0979">
        <w:rPr>
          <w:rFonts w:ascii="Calibri" w:hAnsi="Calibri"/>
          <w:lang w:val="hr-HR"/>
        </w:rPr>
        <w:t>4</w:t>
      </w:r>
      <w:r w:rsidR="00A63EC7">
        <w:rPr>
          <w:rFonts w:ascii="Calibri" w:hAnsi="Calibri"/>
          <w:lang w:val="hr-HR"/>
        </w:rPr>
        <w:t>,</w:t>
      </w:r>
      <w:r w:rsidR="005F0979">
        <w:rPr>
          <w:rFonts w:ascii="Calibri" w:hAnsi="Calibri"/>
          <w:lang w:val="hr-HR"/>
        </w:rPr>
        <w:t>1</w:t>
      </w:r>
      <w:r w:rsidRPr="00FF2ABF">
        <w:rPr>
          <w:rFonts w:ascii="Calibri" w:hAnsi="Calibri"/>
          <w:lang w:val="hr-HR"/>
        </w:rPr>
        <w:t xml:space="preserve"> postotn</w:t>
      </w:r>
      <w:r w:rsidR="005F0979">
        <w:rPr>
          <w:rFonts w:ascii="Calibri" w:hAnsi="Calibri"/>
          <w:lang w:val="hr-HR"/>
        </w:rPr>
        <w:t>i</w:t>
      </w:r>
      <w:r w:rsidRPr="00FF2ABF">
        <w:rPr>
          <w:rFonts w:ascii="Calibri" w:hAnsi="Calibri"/>
          <w:lang w:val="hr-HR"/>
        </w:rPr>
        <w:t xml:space="preserve"> bod</w:t>
      </w:r>
      <w:r w:rsidR="001A0F0E" w:rsidRPr="00FF2ABF">
        <w:rPr>
          <w:rFonts w:ascii="Calibri" w:hAnsi="Calibri"/>
          <w:lang w:val="hr-HR"/>
        </w:rPr>
        <w:t xml:space="preserve"> </w:t>
      </w:r>
      <w:r w:rsidRPr="00FF2ABF">
        <w:rPr>
          <w:rFonts w:ascii="Calibri" w:hAnsi="Calibri"/>
          <w:lang w:val="hr-HR"/>
        </w:rPr>
        <w:t xml:space="preserve">te će </w:t>
      </w:r>
      <w:r w:rsidRPr="00A63EC7">
        <w:rPr>
          <w:rFonts w:ascii="Calibri" w:hAnsi="Calibri"/>
          <w:lang w:val="hr-HR"/>
        </w:rPr>
        <w:t xml:space="preserve">iznositi </w:t>
      </w:r>
      <w:r w:rsidR="00E03699" w:rsidRPr="00A63EC7">
        <w:rPr>
          <w:rFonts w:ascii="Calibri" w:hAnsi="Calibri"/>
          <w:lang w:val="hr-HR"/>
        </w:rPr>
        <w:t>8</w:t>
      </w:r>
      <w:r w:rsidR="005F0979">
        <w:rPr>
          <w:rFonts w:ascii="Calibri" w:hAnsi="Calibri"/>
          <w:lang w:val="hr-HR"/>
        </w:rPr>
        <w:t>2</w:t>
      </w:r>
      <w:r w:rsidR="00A63EC7" w:rsidRPr="00A63EC7">
        <w:rPr>
          <w:rFonts w:ascii="Calibri" w:hAnsi="Calibri"/>
          <w:lang w:val="hr-HR"/>
        </w:rPr>
        <w:t>,</w:t>
      </w:r>
      <w:r w:rsidR="005F0979">
        <w:rPr>
          <w:rFonts w:ascii="Calibri" w:hAnsi="Calibri"/>
          <w:lang w:val="hr-HR"/>
        </w:rPr>
        <w:t>5</w:t>
      </w:r>
      <w:r w:rsidRPr="00A63EC7">
        <w:rPr>
          <w:rFonts w:ascii="Calibri" w:hAnsi="Calibri"/>
          <w:lang w:val="hr-HR"/>
        </w:rPr>
        <w:t>%</w:t>
      </w:r>
      <w:r w:rsidRPr="00FF2ABF">
        <w:rPr>
          <w:rFonts w:ascii="Calibri" w:hAnsi="Calibri"/>
          <w:lang w:val="hr-HR"/>
        </w:rPr>
        <w:t xml:space="preserve"> BDP-a. </w:t>
      </w:r>
      <w:r w:rsidR="001A0F0E" w:rsidRPr="00FF2ABF">
        <w:rPr>
          <w:rFonts w:ascii="Calibri" w:hAnsi="Calibri"/>
          <w:lang w:val="hr-HR"/>
        </w:rPr>
        <w:t xml:space="preserve">Pod utjecajem gospodarskog oporavka i racionalne proračunske politike </w:t>
      </w:r>
      <w:r w:rsidRPr="00FF2ABF">
        <w:rPr>
          <w:rFonts w:ascii="Calibri" w:hAnsi="Calibri"/>
          <w:lang w:val="hr-HR"/>
        </w:rPr>
        <w:t xml:space="preserve">udio javnog duga u BDP-u nastavit će se smanjivati za prosječno </w:t>
      </w:r>
      <w:r w:rsidR="005F0979">
        <w:rPr>
          <w:rFonts w:ascii="Calibri" w:hAnsi="Calibri"/>
          <w:lang w:val="hr-HR"/>
        </w:rPr>
        <w:t>2,9</w:t>
      </w:r>
      <w:r w:rsidR="00B83632" w:rsidRPr="00FF2ABF">
        <w:rPr>
          <w:rFonts w:ascii="Calibri" w:hAnsi="Calibri"/>
          <w:lang w:val="hr-HR"/>
        </w:rPr>
        <w:t xml:space="preserve"> </w:t>
      </w:r>
      <w:r w:rsidR="00B83632" w:rsidRPr="005F0979">
        <w:rPr>
          <w:rFonts w:ascii="Calibri" w:hAnsi="Calibri"/>
          <w:lang w:val="hr-HR"/>
        </w:rPr>
        <w:t>postotna</w:t>
      </w:r>
      <w:r w:rsidR="00ED6E2C" w:rsidRPr="005F0979">
        <w:rPr>
          <w:rFonts w:ascii="Calibri" w:hAnsi="Calibri"/>
          <w:lang w:val="hr-HR"/>
        </w:rPr>
        <w:t xml:space="preserve"> bod</w:t>
      </w:r>
      <w:r w:rsidR="00B83632" w:rsidRPr="005F0979">
        <w:rPr>
          <w:rFonts w:ascii="Calibri" w:hAnsi="Calibri"/>
          <w:lang w:val="hr-HR"/>
        </w:rPr>
        <w:t>a</w:t>
      </w:r>
      <w:r w:rsidRPr="005F0979">
        <w:rPr>
          <w:rFonts w:ascii="Calibri" w:hAnsi="Calibri"/>
          <w:lang w:val="hr-HR"/>
        </w:rPr>
        <w:t xml:space="preserve"> godišnje, odnosno na razinu od </w:t>
      </w:r>
      <w:r w:rsidR="005F0979" w:rsidRPr="005F0979">
        <w:rPr>
          <w:rFonts w:ascii="Calibri" w:hAnsi="Calibri"/>
          <w:lang w:val="hr-HR"/>
        </w:rPr>
        <w:t>79</w:t>
      </w:r>
      <w:r w:rsidR="00C04649" w:rsidRPr="005F0979">
        <w:rPr>
          <w:rFonts w:ascii="Calibri" w:hAnsi="Calibri"/>
          <w:lang w:val="hr-HR"/>
        </w:rPr>
        <w:t>,</w:t>
      </w:r>
      <w:r w:rsidR="004621AA" w:rsidRPr="005F0979">
        <w:rPr>
          <w:rFonts w:ascii="Calibri" w:hAnsi="Calibri"/>
          <w:lang w:val="hr-HR"/>
        </w:rPr>
        <w:t>5</w:t>
      </w:r>
      <w:r w:rsidRPr="005F0979">
        <w:rPr>
          <w:rFonts w:ascii="Calibri" w:hAnsi="Calibri"/>
          <w:lang w:val="hr-HR"/>
        </w:rPr>
        <w:t>% BDP-a u 202</w:t>
      </w:r>
      <w:r w:rsidR="005F0979" w:rsidRPr="005F0979">
        <w:rPr>
          <w:rFonts w:ascii="Calibri" w:hAnsi="Calibri"/>
          <w:lang w:val="hr-HR"/>
        </w:rPr>
        <w:t>3</w:t>
      </w:r>
      <w:r w:rsidRPr="005F0979">
        <w:rPr>
          <w:rFonts w:ascii="Calibri" w:hAnsi="Calibri"/>
          <w:lang w:val="hr-HR"/>
        </w:rPr>
        <w:t xml:space="preserve">., dok </w:t>
      </w:r>
      <w:r w:rsidR="00127B13" w:rsidRPr="005F0979">
        <w:rPr>
          <w:rFonts w:ascii="Calibri" w:hAnsi="Calibri"/>
          <w:lang w:val="hr-HR"/>
        </w:rPr>
        <w:t xml:space="preserve">se </w:t>
      </w:r>
      <w:r w:rsidRPr="005F0979">
        <w:rPr>
          <w:rFonts w:ascii="Calibri" w:hAnsi="Calibri"/>
          <w:lang w:val="hr-HR"/>
        </w:rPr>
        <w:t>u 202</w:t>
      </w:r>
      <w:r w:rsidR="00FF2ABF" w:rsidRPr="005F0979">
        <w:rPr>
          <w:rFonts w:ascii="Calibri" w:hAnsi="Calibri"/>
          <w:lang w:val="hr-HR"/>
        </w:rPr>
        <w:t>4</w:t>
      </w:r>
      <w:r w:rsidRPr="005F0979">
        <w:rPr>
          <w:rFonts w:ascii="Calibri" w:hAnsi="Calibri"/>
          <w:lang w:val="hr-HR"/>
        </w:rPr>
        <w:t xml:space="preserve">. godini </w:t>
      </w:r>
      <w:r w:rsidR="00127B13" w:rsidRPr="005F0979">
        <w:rPr>
          <w:rFonts w:ascii="Calibri" w:hAnsi="Calibri"/>
          <w:lang w:val="hr-HR"/>
        </w:rPr>
        <w:t xml:space="preserve">očekuje na razini </w:t>
      </w:r>
      <w:r w:rsidR="001A0F0E" w:rsidRPr="005F0979">
        <w:rPr>
          <w:rFonts w:ascii="Calibri" w:hAnsi="Calibri"/>
          <w:lang w:val="hr-HR"/>
        </w:rPr>
        <w:t xml:space="preserve">od </w:t>
      </w:r>
      <w:r w:rsidR="004621AA" w:rsidRPr="005F0979">
        <w:rPr>
          <w:rFonts w:ascii="Calibri" w:hAnsi="Calibri"/>
          <w:lang w:val="hr-HR"/>
        </w:rPr>
        <w:t>76</w:t>
      </w:r>
      <w:r w:rsidR="00C04649" w:rsidRPr="005F0979">
        <w:rPr>
          <w:rFonts w:ascii="Calibri" w:hAnsi="Calibri"/>
          <w:lang w:val="hr-HR"/>
        </w:rPr>
        <w:t>,</w:t>
      </w:r>
      <w:r w:rsidR="004621AA" w:rsidRPr="005F0979">
        <w:rPr>
          <w:rFonts w:ascii="Calibri" w:hAnsi="Calibri"/>
          <w:lang w:val="hr-HR"/>
        </w:rPr>
        <w:t>8</w:t>
      </w:r>
      <w:r w:rsidRPr="005F0979">
        <w:rPr>
          <w:rFonts w:ascii="Calibri" w:hAnsi="Calibri"/>
          <w:lang w:val="hr-HR"/>
        </w:rPr>
        <w:t>% BDP-a.</w:t>
      </w:r>
    </w:p>
    <w:p w:rsidR="001A0F0E" w:rsidRPr="00861A1A" w:rsidRDefault="001A0F0E" w:rsidP="00A92827">
      <w:pPr>
        <w:spacing w:after="120"/>
        <w:jc w:val="both"/>
        <w:rPr>
          <w:rFonts w:ascii="Calibri" w:hAnsi="Calibri"/>
          <w:highlight w:val="yellow"/>
          <w:lang w:val="hr-HR"/>
        </w:rPr>
      </w:pPr>
    </w:p>
    <w:p w:rsidR="002407CD" w:rsidRDefault="002407CD" w:rsidP="003D2EF3">
      <w:pPr>
        <w:spacing w:after="120"/>
        <w:jc w:val="both"/>
        <w:rPr>
          <w:rFonts w:ascii="Calibri" w:hAnsi="Calibri"/>
          <w:i/>
          <w:lang w:val="hr-HR"/>
        </w:rPr>
      </w:pPr>
    </w:p>
    <w:p w:rsidR="002407CD" w:rsidRDefault="002407CD" w:rsidP="003D2EF3">
      <w:pPr>
        <w:spacing w:after="120"/>
        <w:jc w:val="both"/>
        <w:rPr>
          <w:rFonts w:ascii="Calibri" w:hAnsi="Calibri"/>
          <w:i/>
          <w:lang w:val="hr-HR"/>
        </w:rPr>
      </w:pPr>
    </w:p>
    <w:p w:rsidR="002407CD" w:rsidRDefault="002407CD" w:rsidP="003D2EF3">
      <w:pPr>
        <w:spacing w:after="120"/>
        <w:jc w:val="both"/>
        <w:rPr>
          <w:rFonts w:ascii="Calibri" w:hAnsi="Calibri"/>
          <w:i/>
          <w:lang w:val="hr-HR"/>
        </w:rPr>
      </w:pPr>
    </w:p>
    <w:p w:rsidR="002407CD" w:rsidRDefault="002407CD" w:rsidP="003D2EF3">
      <w:pPr>
        <w:spacing w:after="120"/>
        <w:jc w:val="both"/>
        <w:rPr>
          <w:rFonts w:ascii="Calibri" w:hAnsi="Calibri"/>
          <w:i/>
          <w:lang w:val="hr-HR"/>
        </w:rPr>
      </w:pPr>
    </w:p>
    <w:p w:rsidR="002407CD" w:rsidRDefault="002407CD" w:rsidP="003D2EF3">
      <w:pPr>
        <w:spacing w:after="120"/>
        <w:jc w:val="both"/>
        <w:rPr>
          <w:rFonts w:ascii="Calibri" w:hAnsi="Calibri"/>
          <w:i/>
          <w:lang w:val="hr-HR"/>
        </w:rPr>
      </w:pPr>
    </w:p>
    <w:p w:rsidR="00A95497" w:rsidRPr="004A1C4A" w:rsidRDefault="00E63D31" w:rsidP="003D2EF3">
      <w:pPr>
        <w:spacing w:after="120"/>
        <w:jc w:val="both"/>
        <w:rPr>
          <w:rFonts w:ascii="Calibri" w:hAnsi="Calibri"/>
          <w:i/>
          <w:lang w:val="hr-HR"/>
        </w:rPr>
      </w:pPr>
      <w:r w:rsidRPr="004A1C4A">
        <w:rPr>
          <w:rFonts w:ascii="Calibri" w:hAnsi="Calibri"/>
          <w:i/>
          <w:lang w:val="hr-HR"/>
        </w:rPr>
        <w:t xml:space="preserve">Grafikon </w:t>
      </w:r>
      <w:r w:rsidRPr="004A1C4A">
        <w:rPr>
          <w:rFonts w:ascii="Calibri" w:hAnsi="Calibri"/>
          <w:i/>
          <w:lang w:val="hr-HR"/>
        </w:rPr>
        <w:fldChar w:fldCharType="begin"/>
      </w:r>
      <w:r w:rsidRPr="004A1C4A">
        <w:rPr>
          <w:rFonts w:ascii="Calibri" w:hAnsi="Calibri"/>
          <w:i/>
          <w:lang w:val="hr-HR"/>
        </w:rPr>
        <w:instrText xml:space="preserve"> SEQ Grafikon \* ARABIC </w:instrText>
      </w:r>
      <w:r w:rsidRPr="004A1C4A">
        <w:rPr>
          <w:rFonts w:ascii="Calibri" w:hAnsi="Calibri"/>
          <w:i/>
          <w:lang w:val="hr-HR"/>
        </w:rPr>
        <w:fldChar w:fldCharType="separate"/>
      </w:r>
      <w:r w:rsidR="00F17D56">
        <w:rPr>
          <w:rFonts w:ascii="Calibri" w:hAnsi="Calibri"/>
          <w:i/>
          <w:noProof/>
          <w:lang w:val="hr-HR"/>
        </w:rPr>
        <w:t>1</w:t>
      </w:r>
      <w:r w:rsidRPr="004A1C4A">
        <w:rPr>
          <w:rFonts w:ascii="Calibri" w:hAnsi="Calibri"/>
          <w:i/>
          <w:lang w:val="hr-HR"/>
        </w:rPr>
        <w:fldChar w:fldCharType="end"/>
      </w:r>
      <w:r w:rsidR="00A95497" w:rsidRPr="004A1C4A">
        <w:rPr>
          <w:rFonts w:ascii="Calibri" w:hAnsi="Calibri"/>
          <w:i/>
          <w:lang w:val="hr-HR"/>
        </w:rPr>
        <w:t xml:space="preserve">: Javni dug u razdoblju </w:t>
      </w:r>
      <w:r w:rsidR="004A635E" w:rsidRPr="004A1C4A">
        <w:rPr>
          <w:rFonts w:ascii="Calibri" w:hAnsi="Calibri"/>
          <w:i/>
          <w:lang w:val="hr-HR"/>
        </w:rPr>
        <w:t>201</w:t>
      </w:r>
      <w:r w:rsidR="00416D9B">
        <w:rPr>
          <w:rFonts w:ascii="Calibri" w:hAnsi="Calibri"/>
          <w:i/>
          <w:lang w:val="hr-HR"/>
        </w:rPr>
        <w:t>7</w:t>
      </w:r>
      <w:r w:rsidR="00B422B6" w:rsidRPr="004A1C4A">
        <w:rPr>
          <w:rFonts w:ascii="Calibri" w:hAnsi="Calibri"/>
          <w:i/>
          <w:lang w:val="hr-HR"/>
        </w:rPr>
        <w:t xml:space="preserve">. </w:t>
      </w:r>
      <w:r w:rsidR="00081C71" w:rsidRPr="004A1C4A">
        <w:rPr>
          <w:rFonts w:ascii="Calibri" w:hAnsi="Calibri"/>
          <w:i/>
          <w:lang w:val="hr-HR"/>
        </w:rPr>
        <w:t>–</w:t>
      </w:r>
      <w:r w:rsidR="00B422B6" w:rsidRPr="004A1C4A">
        <w:rPr>
          <w:rFonts w:ascii="Calibri" w:hAnsi="Calibri"/>
          <w:i/>
          <w:lang w:val="hr-HR"/>
        </w:rPr>
        <w:t xml:space="preserve"> </w:t>
      </w:r>
      <w:r w:rsidR="00081C71" w:rsidRPr="004A1C4A">
        <w:rPr>
          <w:rFonts w:ascii="Calibri" w:hAnsi="Calibri"/>
          <w:i/>
          <w:lang w:val="hr-HR"/>
        </w:rPr>
        <w:t>202</w:t>
      </w:r>
      <w:r w:rsidR="00416D9B">
        <w:rPr>
          <w:rFonts w:ascii="Calibri" w:hAnsi="Calibri"/>
          <w:i/>
          <w:lang w:val="hr-HR"/>
        </w:rPr>
        <w:t>4</w:t>
      </w:r>
      <w:r w:rsidR="00081C71" w:rsidRPr="004A1C4A">
        <w:rPr>
          <w:rFonts w:ascii="Calibri" w:hAnsi="Calibri"/>
          <w:i/>
          <w:lang w:val="hr-HR"/>
        </w:rPr>
        <w:t>.</w:t>
      </w:r>
    </w:p>
    <w:p w:rsidR="008A2418" w:rsidRPr="00FB084D" w:rsidRDefault="00670F27" w:rsidP="00BF6750">
      <w:pPr>
        <w:spacing w:after="120"/>
        <w:rPr>
          <w:rFonts w:ascii="Calibri" w:hAnsi="Calibri"/>
          <w:sz w:val="20"/>
          <w:szCs w:val="20"/>
          <w:lang w:val="hr-HR"/>
        </w:rPr>
      </w:pPr>
      <w:r>
        <w:rPr>
          <w:rFonts w:ascii="Calibri" w:hAnsi="Calibri"/>
          <w:noProof/>
          <w:sz w:val="20"/>
          <w:szCs w:val="20"/>
          <w:lang w:val="hr-HR" w:eastAsia="hr-HR"/>
        </w:rPr>
        <w:lastRenderedPageBreak/>
        <w:drawing>
          <wp:inline distT="0" distB="0" distL="0" distR="0" wp14:anchorId="70F11EB5">
            <wp:extent cx="6019800" cy="280073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1060" cy="2805977"/>
                    </a:xfrm>
                    <a:prstGeom prst="rect">
                      <a:avLst/>
                    </a:prstGeom>
                    <a:noFill/>
                  </pic:spPr>
                </pic:pic>
              </a:graphicData>
            </a:graphic>
          </wp:inline>
        </w:drawing>
      </w:r>
    </w:p>
    <w:p w:rsidR="00BF6750" w:rsidRPr="0048429B" w:rsidRDefault="00BF6750" w:rsidP="00BF6750">
      <w:pPr>
        <w:spacing w:after="120"/>
        <w:rPr>
          <w:rFonts w:ascii="Calibri" w:hAnsi="Calibri"/>
          <w:i/>
          <w:sz w:val="20"/>
          <w:szCs w:val="20"/>
          <w:lang w:val="hr-HR"/>
        </w:rPr>
      </w:pPr>
      <w:r w:rsidRPr="00FB084D">
        <w:rPr>
          <w:rFonts w:ascii="Calibri" w:hAnsi="Calibri"/>
          <w:i/>
          <w:sz w:val="20"/>
          <w:szCs w:val="20"/>
          <w:lang w:val="hr-HR"/>
        </w:rPr>
        <w:t>Izvor: DZS, HNB, Ministarstvo financija</w:t>
      </w:r>
    </w:p>
    <w:p w:rsidR="00E52BDF" w:rsidRPr="0048429B" w:rsidRDefault="00E52BDF" w:rsidP="00DE3CA6">
      <w:pPr>
        <w:spacing w:after="120"/>
        <w:rPr>
          <w:rFonts w:ascii="Calibri" w:hAnsi="Calibri"/>
          <w:i/>
          <w:sz w:val="20"/>
          <w:szCs w:val="20"/>
          <w:lang w:val="hr-HR"/>
        </w:rPr>
      </w:pPr>
    </w:p>
    <w:sectPr w:rsidR="00E52BDF" w:rsidRPr="004842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70E" w:rsidRDefault="00D8570E" w:rsidP="00C34C9E">
      <w:pPr>
        <w:spacing w:after="0" w:line="240" w:lineRule="auto"/>
      </w:pPr>
      <w:r>
        <w:separator/>
      </w:r>
    </w:p>
  </w:endnote>
  <w:endnote w:type="continuationSeparator" w:id="0">
    <w:p w:rsidR="00D8570E" w:rsidRDefault="00D8570E" w:rsidP="00C3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927075"/>
      <w:docPartObj>
        <w:docPartGallery w:val="Page Numbers (Bottom of Page)"/>
        <w:docPartUnique/>
      </w:docPartObj>
    </w:sdtPr>
    <w:sdtEndPr>
      <w:rPr>
        <w:noProof/>
      </w:rPr>
    </w:sdtEndPr>
    <w:sdtContent>
      <w:p w:rsidR="00D8570E" w:rsidRDefault="00D8570E">
        <w:pPr>
          <w:pStyle w:val="Podnoje"/>
          <w:jc w:val="center"/>
        </w:pPr>
        <w:r>
          <w:fldChar w:fldCharType="begin"/>
        </w:r>
        <w:r>
          <w:instrText xml:space="preserve"> PAGE   \* MERGEFORMAT </w:instrText>
        </w:r>
        <w:r>
          <w:fldChar w:fldCharType="separate"/>
        </w:r>
        <w:r w:rsidR="00A90E6E">
          <w:rPr>
            <w:noProof/>
          </w:rPr>
          <w:t>21</w:t>
        </w:r>
        <w:r>
          <w:rPr>
            <w:noProof/>
          </w:rPr>
          <w:fldChar w:fldCharType="end"/>
        </w:r>
      </w:p>
    </w:sdtContent>
  </w:sdt>
  <w:p w:rsidR="00D8570E" w:rsidRDefault="00D8570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0E" w:rsidRDefault="00D8570E">
    <w:pPr>
      <w:pStyle w:val="Podnoje"/>
      <w:jc w:val="right"/>
    </w:pPr>
  </w:p>
  <w:p w:rsidR="00D8570E" w:rsidRDefault="00D8570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70E" w:rsidRDefault="00D8570E" w:rsidP="00C34C9E">
      <w:pPr>
        <w:spacing w:after="0" w:line="240" w:lineRule="auto"/>
      </w:pPr>
      <w:r>
        <w:separator/>
      </w:r>
    </w:p>
  </w:footnote>
  <w:footnote w:type="continuationSeparator" w:id="0">
    <w:p w:rsidR="00D8570E" w:rsidRDefault="00D8570E" w:rsidP="00C34C9E">
      <w:pPr>
        <w:spacing w:after="0" w:line="240" w:lineRule="auto"/>
      </w:pPr>
      <w:r>
        <w:continuationSeparator/>
      </w:r>
    </w:p>
  </w:footnote>
  <w:footnote w:id="1">
    <w:p w:rsidR="00D6024D" w:rsidRPr="00B119A6" w:rsidRDefault="00D6024D" w:rsidP="00D6024D">
      <w:pPr>
        <w:pStyle w:val="Tekstfusnote"/>
        <w:contextualSpacing/>
        <w:rPr>
          <w:i/>
        </w:rPr>
      </w:pPr>
      <w:r>
        <w:rPr>
          <w:rStyle w:val="Referencafusnote"/>
        </w:rPr>
        <w:footnoteRef/>
      </w:r>
      <w:r>
        <w:t xml:space="preserve"> </w:t>
      </w:r>
      <w:r w:rsidRPr="00B119A6">
        <w:rPr>
          <w:i/>
        </w:rPr>
        <w:t>World Economic Outlook, April 2021.</w:t>
      </w:r>
    </w:p>
  </w:footnote>
  <w:footnote w:id="2">
    <w:p w:rsidR="00D6024D" w:rsidRDefault="00D6024D" w:rsidP="00D6024D">
      <w:pPr>
        <w:pStyle w:val="Tekstfusnote"/>
        <w:contextualSpacing/>
      </w:pPr>
      <w:r w:rsidRPr="00B119A6">
        <w:rPr>
          <w:rStyle w:val="Referencafusnote"/>
        </w:rPr>
        <w:footnoteRef/>
      </w:r>
      <w:r w:rsidRPr="00B119A6">
        <w:rPr>
          <w:i/>
        </w:rPr>
        <w:t xml:space="preserve"> Spring 2021 forecast assumptions</w:t>
      </w:r>
    </w:p>
  </w:footnote>
  <w:footnote w:id="3">
    <w:p w:rsidR="00F22D55" w:rsidRPr="00DF1809" w:rsidRDefault="00F22D55" w:rsidP="00F22D55">
      <w:pPr>
        <w:pStyle w:val="Tekstfusnote"/>
        <w:rPr>
          <w:sz w:val="18"/>
          <w:szCs w:val="18"/>
          <w:lang w:val="hr-HR"/>
        </w:rPr>
      </w:pPr>
      <w:r w:rsidRPr="00DF1809">
        <w:rPr>
          <w:rStyle w:val="Referencafusnote"/>
          <w:sz w:val="18"/>
          <w:szCs w:val="18"/>
          <w:lang w:val="hr-HR"/>
        </w:rPr>
        <w:footnoteRef/>
      </w:r>
      <w:r w:rsidRPr="00DF1809">
        <w:rPr>
          <w:sz w:val="18"/>
          <w:szCs w:val="18"/>
          <w:lang w:val="hr-HR"/>
        </w:rPr>
        <w:t xml:space="preserve"> Narodne novine, broj 87/2008, 136/2012. i 15/2015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24FE"/>
    <w:multiLevelType w:val="hybridMultilevel"/>
    <w:tmpl w:val="B55AEB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5E52DE"/>
    <w:multiLevelType w:val="multilevel"/>
    <w:tmpl w:val="A4A845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2E677D3"/>
    <w:multiLevelType w:val="hybridMultilevel"/>
    <w:tmpl w:val="4DAE89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322CE5"/>
    <w:multiLevelType w:val="hybridMultilevel"/>
    <w:tmpl w:val="FDCE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9646C"/>
    <w:multiLevelType w:val="hybridMultilevel"/>
    <w:tmpl w:val="BDBC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85162"/>
    <w:multiLevelType w:val="hybridMultilevel"/>
    <w:tmpl w:val="F2880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1A02D72"/>
    <w:multiLevelType w:val="hybridMultilevel"/>
    <w:tmpl w:val="F468FB84"/>
    <w:lvl w:ilvl="0" w:tplc="B6C4171C">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186BC7"/>
    <w:multiLevelType w:val="hybridMultilevel"/>
    <w:tmpl w:val="E7E4B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454F7"/>
    <w:multiLevelType w:val="hybridMultilevel"/>
    <w:tmpl w:val="7FB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63C02"/>
    <w:multiLevelType w:val="hybridMultilevel"/>
    <w:tmpl w:val="9FDC416A"/>
    <w:lvl w:ilvl="0" w:tplc="041A0001">
      <w:start w:val="1"/>
      <w:numFmt w:val="bullet"/>
      <w:lvlText w:val=""/>
      <w:lvlJc w:val="left"/>
      <w:pPr>
        <w:ind w:left="766" w:hanging="360"/>
      </w:pPr>
      <w:rPr>
        <w:rFonts w:ascii="Symbol" w:hAnsi="Symbol"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10" w15:restartNumberingAfterBreak="0">
    <w:nsid w:val="74A3626C"/>
    <w:multiLevelType w:val="hybridMultilevel"/>
    <w:tmpl w:val="1C868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1D23DE"/>
    <w:multiLevelType w:val="multilevel"/>
    <w:tmpl w:val="C2C6C18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0"/>
  </w:num>
  <w:num w:numId="4">
    <w:abstractNumId w:val="3"/>
  </w:num>
  <w:num w:numId="5">
    <w:abstractNumId w:val="8"/>
  </w:num>
  <w:num w:numId="6">
    <w:abstractNumId w:val="9"/>
  </w:num>
  <w:num w:numId="7">
    <w:abstractNumId w:val="4"/>
  </w:num>
  <w:num w:numId="8">
    <w:abstractNumId w:val="6"/>
  </w:num>
  <w:num w:numId="9">
    <w:abstractNumId w:val="10"/>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DF"/>
    <w:rsid w:val="000069D2"/>
    <w:rsid w:val="00011109"/>
    <w:rsid w:val="00013EEF"/>
    <w:rsid w:val="00014935"/>
    <w:rsid w:val="000277DC"/>
    <w:rsid w:val="000324BA"/>
    <w:rsid w:val="00032F6C"/>
    <w:rsid w:val="000336DF"/>
    <w:rsid w:val="000345EE"/>
    <w:rsid w:val="0003678D"/>
    <w:rsid w:val="00036D87"/>
    <w:rsid w:val="0003791F"/>
    <w:rsid w:val="00042331"/>
    <w:rsid w:val="000438C7"/>
    <w:rsid w:val="000478F6"/>
    <w:rsid w:val="00050B5B"/>
    <w:rsid w:val="00051951"/>
    <w:rsid w:val="00051C22"/>
    <w:rsid w:val="00054AC4"/>
    <w:rsid w:val="00055AC3"/>
    <w:rsid w:val="000618B5"/>
    <w:rsid w:val="00062305"/>
    <w:rsid w:val="0006428C"/>
    <w:rsid w:val="00075B78"/>
    <w:rsid w:val="000810D1"/>
    <w:rsid w:val="00081C71"/>
    <w:rsid w:val="00081DD8"/>
    <w:rsid w:val="000834FE"/>
    <w:rsid w:val="00083F5C"/>
    <w:rsid w:val="0008422F"/>
    <w:rsid w:val="00090701"/>
    <w:rsid w:val="0009134E"/>
    <w:rsid w:val="000970E9"/>
    <w:rsid w:val="00097AA2"/>
    <w:rsid w:val="000A1CE4"/>
    <w:rsid w:val="000A3C97"/>
    <w:rsid w:val="000A71E3"/>
    <w:rsid w:val="000A783A"/>
    <w:rsid w:val="000A7B47"/>
    <w:rsid w:val="000B166F"/>
    <w:rsid w:val="000B3B44"/>
    <w:rsid w:val="000B5459"/>
    <w:rsid w:val="000B6911"/>
    <w:rsid w:val="000B72ED"/>
    <w:rsid w:val="000D0286"/>
    <w:rsid w:val="000D1236"/>
    <w:rsid w:val="000D394E"/>
    <w:rsid w:val="000D782C"/>
    <w:rsid w:val="000E0A66"/>
    <w:rsid w:val="000E1264"/>
    <w:rsid w:val="000E1984"/>
    <w:rsid w:val="000E2ACD"/>
    <w:rsid w:val="000E4DD3"/>
    <w:rsid w:val="000F32DA"/>
    <w:rsid w:val="000F53A5"/>
    <w:rsid w:val="001017C2"/>
    <w:rsid w:val="0010391E"/>
    <w:rsid w:val="00105DC4"/>
    <w:rsid w:val="00111C9D"/>
    <w:rsid w:val="00122910"/>
    <w:rsid w:val="00125FFF"/>
    <w:rsid w:val="001261B9"/>
    <w:rsid w:val="00127B13"/>
    <w:rsid w:val="001316BE"/>
    <w:rsid w:val="00133856"/>
    <w:rsid w:val="001412AC"/>
    <w:rsid w:val="001447EC"/>
    <w:rsid w:val="00144A71"/>
    <w:rsid w:val="00145C68"/>
    <w:rsid w:val="0015145B"/>
    <w:rsid w:val="00156360"/>
    <w:rsid w:val="001572C2"/>
    <w:rsid w:val="00160607"/>
    <w:rsid w:val="001674D5"/>
    <w:rsid w:val="001775B0"/>
    <w:rsid w:val="00186C72"/>
    <w:rsid w:val="0019098D"/>
    <w:rsid w:val="0019157D"/>
    <w:rsid w:val="00195032"/>
    <w:rsid w:val="00197820"/>
    <w:rsid w:val="001A0F0E"/>
    <w:rsid w:val="001A2132"/>
    <w:rsid w:val="001A54D8"/>
    <w:rsid w:val="001A6F01"/>
    <w:rsid w:val="001B1A9A"/>
    <w:rsid w:val="001C1358"/>
    <w:rsid w:val="001C290A"/>
    <w:rsid w:val="001C3E19"/>
    <w:rsid w:val="001C5FD5"/>
    <w:rsid w:val="001C6D4E"/>
    <w:rsid w:val="001C6FEC"/>
    <w:rsid w:val="001D0947"/>
    <w:rsid w:val="001E0168"/>
    <w:rsid w:val="001E434E"/>
    <w:rsid w:val="001E7B19"/>
    <w:rsid w:val="001F1668"/>
    <w:rsid w:val="001F7CC8"/>
    <w:rsid w:val="00200865"/>
    <w:rsid w:val="002025C5"/>
    <w:rsid w:val="002127BE"/>
    <w:rsid w:val="00212B64"/>
    <w:rsid w:val="002148BD"/>
    <w:rsid w:val="002156B2"/>
    <w:rsid w:val="00216659"/>
    <w:rsid w:val="00221C43"/>
    <w:rsid w:val="00221F55"/>
    <w:rsid w:val="00224D58"/>
    <w:rsid w:val="00225C40"/>
    <w:rsid w:val="00225DF6"/>
    <w:rsid w:val="002302A5"/>
    <w:rsid w:val="00230A60"/>
    <w:rsid w:val="00231786"/>
    <w:rsid w:val="00233821"/>
    <w:rsid w:val="002340FF"/>
    <w:rsid w:val="002370B3"/>
    <w:rsid w:val="002407CD"/>
    <w:rsid w:val="00240D85"/>
    <w:rsid w:val="002442A5"/>
    <w:rsid w:val="002445C1"/>
    <w:rsid w:val="00251173"/>
    <w:rsid w:val="00251AFD"/>
    <w:rsid w:val="002559F3"/>
    <w:rsid w:val="00265909"/>
    <w:rsid w:val="00266D69"/>
    <w:rsid w:val="00281580"/>
    <w:rsid w:val="00284EF5"/>
    <w:rsid w:val="00285526"/>
    <w:rsid w:val="002966D3"/>
    <w:rsid w:val="002A0366"/>
    <w:rsid w:val="002A21CF"/>
    <w:rsid w:val="002A45C2"/>
    <w:rsid w:val="002A562A"/>
    <w:rsid w:val="002A6623"/>
    <w:rsid w:val="002A75A8"/>
    <w:rsid w:val="002B0C1F"/>
    <w:rsid w:val="002B0D74"/>
    <w:rsid w:val="002B0FAD"/>
    <w:rsid w:val="002B3887"/>
    <w:rsid w:val="002B4A19"/>
    <w:rsid w:val="002C0471"/>
    <w:rsid w:val="002C2A3E"/>
    <w:rsid w:val="002C2C78"/>
    <w:rsid w:val="002C4A34"/>
    <w:rsid w:val="002C597C"/>
    <w:rsid w:val="002E0D89"/>
    <w:rsid w:val="002E29E2"/>
    <w:rsid w:val="002E6A4E"/>
    <w:rsid w:val="002E6A9F"/>
    <w:rsid w:val="002E748D"/>
    <w:rsid w:val="0030469C"/>
    <w:rsid w:val="0030637A"/>
    <w:rsid w:val="00316215"/>
    <w:rsid w:val="003168CA"/>
    <w:rsid w:val="0032134F"/>
    <w:rsid w:val="00321961"/>
    <w:rsid w:val="00331EA9"/>
    <w:rsid w:val="00332E2D"/>
    <w:rsid w:val="00334667"/>
    <w:rsid w:val="0033593B"/>
    <w:rsid w:val="00337677"/>
    <w:rsid w:val="003422B8"/>
    <w:rsid w:val="00346BD1"/>
    <w:rsid w:val="00351532"/>
    <w:rsid w:val="00355F14"/>
    <w:rsid w:val="00372C83"/>
    <w:rsid w:val="003743B6"/>
    <w:rsid w:val="00377947"/>
    <w:rsid w:val="0038079D"/>
    <w:rsid w:val="00383DBB"/>
    <w:rsid w:val="00386DBD"/>
    <w:rsid w:val="003924A4"/>
    <w:rsid w:val="003932E4"/>
    <w:rsid w:val="003948C5"/>
    <w:rsid w:val="00395C6D"/>
    <w:rsid w:val="0039746E"/>
    <w:rsid w:val="003A06E7"/>
    <w:rsid w:val="003A1B07"/>
    <w:rsid w:val="003A7D2D"/>
    <w:rsid w:val="003C142E"/>
    <w:rsid w:val="003C229B"/>
    <w:rsid w:val="003D0789"/>
    <w:rsid w:val="003D09F6"/>
    <w:rsid w:val="003D0BBD"/>
    <w:rsid w:val="003D2707"/>
    <w:rsid w:val="003D2EF3"/>
    <w:rsid w:val="003D41F2"/>
    <w:rsid w:val="003D5578"/>
    <w:rsid w:val="003D58A2"/>
    <w:rsid w:val="003E394A"/>
    <w:rsid w:val="003E5242"/>
    <w:rsid w:val="003E52BF"/>
    <w:rsid w:val="003E6770"/>
    <w:rsid w:val="003F0685"/>
    <w:rsid w:val="003F0DF7"/>
    <w:rsid w:val="00410CB8"/>
    <w:rsid w:val="00412778"/>
    <w:rsid w:val="004143A6"/>
    <w:rsid w:val="004166C0"/>
    <w:rsid w:val="00416D9B"/>
    <w:rsid w:val="00422921"/>
    <w:rsid w:val="00423B7E"/>
    <w:rsid w:val="00423F85"/>
    <w:rsid w:val="00425111"/>
    <w:rsid w:val="00425226"/>
    <w:rsid w:val="00437761"/>
    <w:rsid w:val="00437CFA"/>
    <w:rsid w:val="004413AB"/>
    <w:rsid w:val="00443B2B"/>
    <w:rsid w:val="00453498"/>
    <w:rsid w:val="00454B97"/>
    <w:rsid w:val="00456F98"/>
    <w:rsid w:val="004604FB"/>
    <w:rsid w:val="004621AA"/>
    <w:rsid w:val="00467FCC"/>
    <w:rsid w:val="00473C63"/>
    <w:rsid w:val="00474D47"/>
    <w:rsid w:val="00474F54"/>
    <w:rsid w:val="0048429B"/>
    <w:rsid w:val="00487688"/>
    <w:rsid w:val="0049132E"/>
    <w:rsid w:val="004918D7"/>
    <w:rsid w:val="0049191F"/>
    <w:rsid w:val="004A05D8"/>
    <w:rsid w:val="004A1C4A"/>
    <w:rsid w:val="004A1C53"/>
    <w:rsid w:val="004A43D2"/>
    <w:rsid w:val="004A48DE"/>
    <w:rsid w:val="004A635E"/>
    <w:rsid w:val="004B15D9"/>
    <w:rsid w:val="004B2655"/>
    <w:rsid w:val="004B3C56"/>
    <w:rsid w:val="004B5C0E"/>
    <w:rsid w:val="004B5C69"/>
    <w:rsid w:val="004C3810"/>
    <w:rsid w:val="004C50F7"/>
    <w:rsid w:val="004D0666"/>
    <w:rsid w:val="004D08EF"/>
    <w:rsid w:val="004D43B4"/>
    <w:rsid w:val="004E1AAF"/>
    <w:rsid w:val="004E1F75"/>
    <w:rsid w:val="004E4219"/>
    <w:rsid w:val="004E5B14"/>
    <w:rsid w:val="004F06A4"/>
    <w:rsid w:val="004F3468"/>
    <w:rsid w:val="004F4CC6"/>
    <w:rsid w:val="004F6CC5"/>
    <w:rsid w:val="004F6DAC"/>
    <w:rsid w:val="00501928"/>
    <w:rsid w:val="00501DDB"/>
    <w:rsid w:val="00517CA0"/>
    <w:rsid w:val="00522463"/>
    <w:rsid w:val="0052269C"/>
    <w:rsid w:val="0052332D"/>
    <w:rsid w:val="005356C7"/>
    <w:rsid w:val="00537CC5"/>
    <w:rsid w:val="00544AA0"/>
    <w:rsid w:val="00544BF7"/>
    <w:rsid w:val="005454F8"/>
    <w:rsid w:val="00547DC5"/>
    <w:rsid w:val="005525AC"/>
    <w:rsid w:val="00553B82"/>
    <w:rsid w:val="00553E1B"/>
    <w:rsid w:val="005728C4"/>
    <w:rsid w:val="00572A89"/>
    <w:rsid w:val="00574C79"/>
    <w:rsid w:val="00574FD0"/>
    <w:rsid w:val="0057684B"/>
    <w:rsid w:val="00580768"/>
    <w:rsid w:val="00590D18"/>
    <w:rsid w:val="00596F83"/>
    <w:rsid w:val="005A37C6"/>
    <w:rsid w:val="005A3BF2"/>
    <w:rsid w:val="005A3C5A"/>
    <w:rsid w:val="005A3DDB"/>
    <w:rsid w:val="005A428E"/>
    <w:rsid w:val="005B7092"/>
    <w:rsid w:val="005B7EAD"/>
    <w:rsid w:val="005D3D66"/>
    <w:rsid w:val="005D48F4"/>
    <w:rsid w:val="005D6FC8"/>
    <w:rsid w:val="005D7446"/>
    <w:rsid w:val="005D77E8"/>
    <w:rsid w:val="005E28B6"/>
    <w:rsid w:val="005E57DE"/>
    <w:rsid w:val="005E61F3"/>
    <w:rsid w:val="005E70AA"/>
    <w:rsid w:val="005F01D5"/>
    <w:rsid w:val="005F0979"/>
    <w:rsid w:val="005F3758"/>
    <w:rsid w:val="00600500"/>
    <w:rsid w:val="006012F9"/>
    <w:rsid w:val="0060618F"/>
    <w:rsid w:val="00606810"/>
    <w:rsid w:val="00610C37"/>
    <w:rsid w:val="00612D99"/>
    <w:rsid w:val="00613225"/>
    <w:rsid w:val="00620E77"/>
    <w:rsid w:val="006265BB"/>
    <w:rsid w:val="00630BAD"/>
    <w:rsid w:val="00633C87"/>
    <w:rsid w:val="00634601"/>
    <w:rsid w:val="00636121"/>
    <w:rsid w:val="0063703A"/>
    <w:rsid w:val="0064175B"/>
    <w:rsid w:val="00644EB3"/>
    <w:rsid w:val="0065264C"/>
    <w:rsid w:val="00656E0F"/>
    <w:rsid w:val="00657020"/>
    <w:rsid w:val="00664F4E"/>
    <w:rsid w:val="00667DEA"/>
    <w:rsid w:val="006702E8"/>
    <w:rsid w:val="00670F27"/>
    <w:rsid w:val="00672D8D"/>
    <w:rsid w:val="006748C9"/>
    <w:rsid w:val="006803D0"/>
    <w:rsid w:val="00681089"/>
    <w:rsid w:val="00683325"/>
    <w:rsid w:val="006872F5"/>
    <w:rsid w:val="006873A0"/>
    <w:rsid w:val="006A169F"/>
    <w:rsid w:val="006A4099"/>
    <w:rsid w:val="006A5100"/>
    <w:rsid w:val="006B0263"/>
    <w:rsid w:val="006B2560"/>
    <w:rsid w:val="006C1D10"/>
    <w:rsid w:val="006C31BE"/>
    <w:rsid w:val="006C4A17"/>
    <w:rsid w:val="006C633D"/>
    <w:rsid w:val="006D061F"/>
    <w:rsid w:val="006D17FA"/>
    <w:rsid w:val="006D31F1"/>
    <w:rsid w:val="006D5923"/>
    <w:rsid w:val="006D6032"/>
    <w:rsid w:val="006D6B2B"/>
    <w:rsid w:val="006E0ED1"/>
    <w:rsid w:val="006F5E46"/>
    <w:rsid w:val="006F5ECC"/>
    <w:rsid w:val="006F70CA"/>
    <w:rsid w:val="007014A2"/>
    <w:rsid w:val="00702970"/>
    <w:rsid w:val="00706C67"/>
    <w:rsid w:val="00710B3F"/>
    <w:rsid w:val="00710EF3"/>
    <w:rsid w:val="00720502"/>
    <w:rsid w:val="007208E1"/>
    <w:rsid w:val="007262DF"/>
    <w:rsid w:val="00731CAD"/>
    <w:rsid w:val="007446DC"/>
    <w:rsid w:val="00745E58"/>
    <w:rsid w:val="0075180E"/>
    <w:rsid w:val="00752A93"/>
    <w:rsid w:val="00754308"/>
    <w:rsid w:val="007543AC"/>
    <w:rsid w:val="0076436D"/>
    <w:rsid w:val="007644D1"/>
    <w:rsid w:val="007655CD"/>
    <w:rsid w:val="00765D86"/>
    <w:rsid w:val="00772001"/>
    <w:rsid w:val="00772DF2"/>
    <w:rsid w:val="00774A3D"/>
    <w:rsid w:val="00775E6E"/>
    <w:rsid w:val="0077786A"/>
    <w:rsid w:val="00780726"/>
    <w:rsid w:val="00781149"/>
    <w:rsid w:val="00782F4F"/>
    <w:rsid w:val="00786DE8"/>
    <w:rsid w:val="00787531"/>
    <w:rsid w:val="00790DF3"/>
    <w:rsid w:val="00791E09"/>
    <w:rsid w:val="00794657"/>
    <w:rsid w:val="007A4FBB"/>
    <w:rsid w:val="007B2D3B"/>
    <w:rsid w:val="007B768B"/>
    <w:rsid w:val="007C34BA"/>
    <w:rsid w:val="007D39DB"/>
    <w:rsid w:val="007E62B8"/>
    <w:rsid w:val="007E7157"/>
    <w:rsid w:val="007E7ABF"/>
    <w:rsid w:val="007F48AE"/>
    <w:rsid w:val="007F53F8"/>
    <w:rsid w:val="007F71B1"/>
    <w:rsid w:val="00804602"/>
    <w:rsid w:val="00811C29"/>
    <w:rsid w:val="0081415C"/>
    <w:rsid w:val="00814613"/>
    <w:rsid w:val="00820E64"/>
    <w:rsid w:val="008211E8"/>
    <w:rsid w:val="008235AA"/>
    <w:rsid w:val="00823731"/>
    <w:rsid w:val="00825C69"/>
    <w:rsid w:val="008274C5"/>
    <w:rsid w:val="008319C8"/>
    <w:rsid w:val="00833018"/>
    <w:rsid w:val="00841F00"/>
    <w:rsid w:val="00842E2D"/>
    <w:rsid w:val="00843CDA"/>
    <w:rsid w:val="00844E0B"/>
    <w:rsid w:val="0084750A"/>
    <w:rsid w:val="008475AD"/>
    <w:rsid w:val="0086024C"/>
    <w:rsid w:val="00861A1A"/>
    <w:rsid w:val="00865C38"/>
    <w:rsid w:val="00866C90"/>
    <w:rsid w:val="00867077"/>
    <w:rsid w:val="0087037A"/>
    <w:rsid w:val="008705D4"/>
    <w:rsid w:val="008720BC"/>
    <w:rsid w:val="0087274A"/>
    <w:rsid w:val="00874A60"/>
    <w:rsid w:val="00876058"/>
    <w:rsid w:val="008807A9"/>
    <w:rsid w:val="00882790"/>
    <w:rsid w:val="008834B3"/>
    <w:rsid w:val="0089189E"/>
    <w:rsid w:val="00894DB1"/>
    <w:rsid w:val="00896917"/>
    <w:rsid w:val="008A2418"/>
    <w:rsid w:val="008B2370"/>
    <w:rsid w:val="008C1CF8"/>
    <w:rsid w:val="008C2380"/>
    <w:rsid w:val="008C43F4"/>
    <w:rsid w:val="008C47FC"/>
    <w:rsid w:val="008C52CB"/>
    <w:rsid w:val="008C5B06"/>
    <w:rsid w:val="008C678E"/>
    <w:rsid w:val="008C6CD5"/>
    <w:rsid w:val="008C7C11"/>
    <w:rsid w:val="008E0E8D"/>
    <w:rsid w:val="008E583F"/>
    <w:rsid w:val="008E683E"/>
    <w:rsid w:val="008E6DC7"/>
    <w:rsid w:val="008E7D98"/>
    <w:rsid w:val="00903C01"/>
    <w:rsid w:val="00912337"/>
    <w:rsid w:val="009127EB"/>
    <w:rsid w:val="00914199"/>
    <w:rsid w:val="00915DE1"/>
    <w:rsid w:val="00920A67"/>
    <w:rsid w:val="00920E81"/>
    <w:rsid w:val="00922842"/>
    <w:rsid w:val="0092426E"/>
    <w:rsid w:val="009314D5"/>
    <w:rsid w:val="00931B92"/>
    <w:rsid w:val="00936FA9"/>
    <w:rsid w:val="00937528"/>
    <w:rsid w:val="00942D33"/>
    <w:rsid w:val="00950515"/>
    <w:rsid w:val="00957A4E"/>
    <w:rsid w:val="00961825"/>
    <w:rsid w:val="00962D08"/>
    <w:rsid w:val="00962F18"/>
    <w:rsid w:val="0096561C"/>
    <w:rsid w:val="009713AE"/>
    <w:rsid w:val="009762FE"/>
    <w:rsid w:val="0098136E"/>
    <w:rsid w:val="00982867"/>
    <w:rsid w:val="00985A7F"/>
    <w:rsid w:val="00987F75"/>
    <w:rsid w:val="00991929"/>
    <w:rsid w:val="0099429D"/>
    <w:rsid w:val="009964AA"/>
    <w:rsid w:val="009A6DEB"/>
    <w:rsid w:val="009B17D8"/>
    <w:rsid w:val="009B3745"/>
    <w:rsid w:val="009B4279"/>
    <w:rsid w:val="009B6E9A"/>
    <w:rsid w:val="009C1EC9"/>
    <w:rsid w:val="009C47C0"/>
    <w:rsid w:val="009C76C7"/>
    <w:rsid w:val="009D4BB6"/>
    <w:rsid w:val="009D6096"/>
    <w:rsid w:val="009D729E"/>
    <w:rsid w:val="009E2910"/>
    <w:rsid w:val="009E3AE8"/>
    <w:rsid w:val="009E7D6A"/>
    <w:rsid w:val="009F134C"/>
    <w:rsid w:val="009F7B1B"/>
    <w:rsid w:val="00A02299"/>
    <w:rsid w:val="00A034C5"/>
    <w:rsid w:val="00A0390E"/>
    <w:rsid w:val="00A0758D"/>
    <w:rsid w:val="00A0791E"/>
    <w:rsid w:val="00A32AB1"/>
    <w:rsid w:val="00A342DA"/>
    <w:rsid w:val="00A355E5"/>
    <w:rsid w:val="00A3791A"/>
    <w:rsid w:val="00A37DF4"/>
    <w:rsid w:val="00A439AE"/>
    <w:rsid w:val="00A44B9F"/>
    <w:rsid w:val="00A562A2"/>
    <w:rsid w:val="00A614C8"/>
    <w:rsid w:val="00A62ACB"/>
    <w:rsid w:val="00A63EC7"/>
    <w:rsid w:val="00A6521C"/>
    <w:rsid w:val="00A729FD"/>
    <w:rsid w:val="00A743FD"/>
    <w:rsid w:val="00A757D4"/>
    <w:rsid w:val="00A81DCC"/>
    <w:rsid w:val="00A82A30"/>
    <w:rsid w:val="00A83A4B"/>
    <w:rsid w:val="00A860B3"/>
    <w:rsid w:val="00A9084D"/>
    <w:rsid w:val="00A90E6E"/>
    <w:rsid w:val="00A92827"/>
    <w:rsid w:val="00A95497"/>
    <w:rsid w:val="00A96F7F"/>
    <w:rsid w:val="00A973A2"/>
    <w:rsid w:val="00AA16D4"/>
    <w:rsid w:val="00AA7376"/>
    <w:rsid w:val="00AB20B5"/>
    <w:rsid w:val="00AC017C"/>
    <w:rsid w:val="00AC1A4A"/>
    <w:rsid w:val="00AC56A2"/>
    <w:rsid w:val="00AD2391"/>
    <w:rsid w:val="00AD2958"/>
    <w:rsid w:val="00AD4D0A"/>
    <w:rsid w:val="00AD503E"/>
    <w:rsid w:val="00AD5086"/>
    <w:rsid w:val="00AD74FE"/>
    <w:rsid w:val="00AE17E4"/>
    <w:rsid w:val="00AE2C72"/>
    <w:rsid w:val="00AF04B0"/>
    <w:rsid w:val="00AF59DD"/>
    <w:rsid w:val="00B00FFB"/>
    <w:rsid w:val="00B11F9D"/>
    <w:rsid w:val="00B12BDC"/>
    <w:rsid w:val="00B13AFA"/>
    <w:rsid w:val="00B172C5"/>
    <w:rsid w:val="00B26446"/>
    <w:rsid w:val="00B2675B"/>
    <w:rsid w:val="00B33AB2"/>
    <w:rsid w:val="00B422B6"/>
    <w:rsid w:val="00B42631"/>
    <w:rsid w:val="00B46874"/>
    <w:rsid w:val="00B5093D"/>
    <w:rsid w:val="00B55971"/>
    <w:rsid w:val="00B63F07"/>
    <w:rsid w:val="00B64707"/>
    <w:rsid w:val="00B65510"/>
    <w:rsid w:val="00B70F51"/>
    <w:rsid w:val="00B74A7F"/>
    <w:rsid w:val="00B76713"/>
    <w:rsid w:val="00B83569"/>
    <w:rsid w:val="00B83632"/>
    <w:rsid w:val="00B8682E"/>
    <w:rsid w:val="00B873B2"/>
    <w:rsid w:val="00B91E35"/>
    <w:rsid w:val="00B95475"/>
    <w:rsid w:val="00B95D57"/>
    <w:rsid w:val="00B96F8A"/>
    <w:rsid w:val="00B97E40"/>
    <w:rsid w:val="00BA0691"/>
    <w:rsid w:val="00BA1498"/>
    <w:rsid w:val="00BA20DB"/>
    <w:rsid w:val="00BA4057"/>
    <w:rsid w:val="00BA6A32"/>
    <w:rsid w:val="00BB767D"/>
    <w:rsid w:val="00BC28E2"/>
    <w:rsid w:val="00BC4D1F"/>
    <w:rsid w:val="00BC51D8"/>
    <w:rsid w:val="00BC5F48"/>
    <w:rsid w:val="00BC6419"/>
    <w:rsid w:val="00BD4B8A"/>
    <w:rsid w:val="00BD4F47"/>
    <w:rsid w:val="00BE058D"/>
    <w:rsid w:val="00BE3061"/>
    <w:rsid w:val="00BE5B6A"/>
    <w:rsid w:val="00BE5E64"/>
    <w:rsid w:val="00BF06D5"/>
    <w:rsid w:val="00BF0DCF"/>
    <w:rsid w:val="00BF4977"/>
    <w:rsid w:val="00BF6750"/>
    <w:rsid w:val="00BF71C6"/>
    <w:rsid w:val="00C0038A"/>
    <w:rsid w:val="00C03895"/>
    <w:rsid w:val="00C04649"/>
    <w:rsid w:val="00C057B7"/>
    <w:rsid w:val="00C16F27"/>
    <w:rsid w:val="00C214D9"/>
    <w:rsid w:val="00C21C72"/>
    <w:rsid w:val="00C237A9"/>
    <w:rsid w:val="00C24DB4"/>
    <w:rsid w:val="00C25818"/>
    <w:rsid w:val="00C34746"/>
    <w:rsid w:val="00C34C9E"/>
    <w:rsid w:val="00C45758"/>
    <w:rsid w:val="00C47371"/>
    <w:rsid w:val="00C55A60"/>
    <w:rsid w:val="00C63536"/>
    <w:rsid w:val="00C641E6"/>
    <w:rsid w:val="00C66011"/>
    <w:rsid w:val="00C6761A"/>
    <w:rsid w:val="00C7538B"/>
    <w:rsid w:val="00C769F0"/>
    <w:rsid w:val="00C77B1F"/>
    <w:rsid w:val="00C8543B"/>
    <w:rsid w:val="00C909C5"/>
    <w:rsid w:val="00C95085"/>
    <w:rsid w:val="00C95228"/>
    <w:rsid w:val="00C969F2"/>
    <w:rsid w:val="00CA1699"/>
    <w:rsid w:val="00CA528B"/>
    <w:rsid w:val="00CA62E0"/>
    <w:rsid w:val="00CB1B9D"/>
    <w:rsid w:val="00CB1D57"/>
    <w:rsid w:val="00CB3800"/>
    <w:rsid w:val="00CC049B"/>
    <w:rsid w:val="00CC2A36"/>
    <w:rsid w:val="00CC2A8C"/>
    <w:rsid w:val="00CC3916"/>
    <w:rsid w:val="00CC6A19"/>
    <w:rsid w:val="00CC6DE1"/>
    <w:rsid w:val="00CD0159"/>
    <w:rsid w:val="00CF3D23"/>
    <w:rsid w:val="00CF50CA"/>
    <w:rsid w:val="00CF6BEF"/>
    <w:rsid w:val="00D05677"/>
    <w:rsid w:val="00D149C2"/>
    <w:rsid w:val="00D16734"/>
    <w:rsid w:val="00D314FA"/>
    <w:rsid w:val="00D34DDF"/>
    <w:rsid w:val="00D45AEB"/>
    <w:rsid w:val="00D46AA9"/>
    <w:rsid w:val="00D47C55"/>
    <w:rsid w:val="00D50472"/>
    <w:rsid w:val="00D6024D"/>
    <w:rsid w:val="00D64605"/>
    <w:rsid w:val="00D66105"/>
    <w:rsid w:val="00D66B42"/>
    <w:rsid w:val="00D71F32"/>
    <w:rsid w:val="00D73955"/>
    <w:rsid w:val="00D7511B"/>
    <w:rsid w:val="00D76B8E"/>
    <w:rsid w:val="00D813FA"/>
    <w:rsid w:val="00D8159D"/>
    <w:rsid w:val="00D82F5D"/>
    <w:rsid w:val="00D8570E"/>
    <w:rsid w:val="00D869B8"/>
    <w:rsid w:val="00DA1CED"/>
    <w:rsid w:val="00DA2414"/>
    <w:rsid w:val="00DA3B9C"/>
    <w:rsid w:val="00DA3DCC"/>
    <w:rsid w:val="00DA5CA8"/>
    <w:rsid w:val="00DB0C34"/>
    <w:rsid w:val="00DB277A"/>
    <w:rsid w:val="00DB424D"/>
    <w:rsid w:val="00DB652C"/>
    <w:rsid w:val="00DC047F"/>
    <w:rsid w:val="00DC1606"/>
    <w:rsid w:val="00DC1DC1"/>
    <w:rsid w:val="00DC6323"/>
    <w:rsid w:val="00DD335C"/>
    <w:rsid w:val="00DE0691"/>
    <w:rsid w:val="00DE1666"/>
    <w:rsid w:val="00DE2013"/>
    <w:rsid w:val="00DE3CA6"/>
    <w:rsid w:val="00DE4CE9"/>
    <w:rsid w:val="00DE6E12"/>
    <w:rsid w:val="00DF06BE"/>
    <w:rsid w:val="00DF0AFA"/>
    <w:rsid w:val="00DF1809"/>
    <w:rsid w:val="00DF784B"/>
    <w:rsid w:val="00DF7C72"/>
    <w:rsid w:val="00E03699"/>
    <w:rsid w:val="00E055D8"/>
    <w:rsid w:val="00E17867"/>
    <w:rsid w:val="00E20FBE"/>
    <w:rsid w:val="00E216FD"/>
    <w:rsid w:val="00E21C0B"/>
    <w:rsid w:val="00E26386"/>
    <w:rsid w:val="00E26DBC"/>
    <w:rsid w:val="00E30415"/>
    <w:rsid w:val="00E312FB"/>
    <w:rsid w:val="00E353EE"/>
    <w:rsid w:val="00E36B85"/>
    <w:rsid w:val="00E37F6E"/>
    <w:rsid w:val="00E419DA"/>
    <w:rsid w:val="00E433C4"/>
    <w:rsid w:val="00E46445"/>
    <w:rsid w:val="00E513F6"/>
    <w:rsid w:val="00E52BDF"/>
    <w:rsid w:val="00E55991"/>
    <w:rsid w:val="00E62B17"/>
    <w:rsid w:val="00E62D6D"/>
    <w:rsid w:val="00E63D31"/>
    <w:rsid w:val="00E6463F"/>
    <w:rsid w:val="00E67D40"/>
    <w:rsid w:val="00E71A08"/>
    <w:rsid w:val="00E754EA"/>
    <w:rsid w:val="00E7617B"/>
    <w:rsid w:val="00E7646D"/>
    <w:rsid w:val="00E7693A"/>
    <w:rsid w:val="00E80063"/>
    <w:rsid w:val="00E8493C"/>
    <w:rsid w:val="00E84B29"/>
    <w:rsid w:val="00E8533E"/>
    <w:rsid w:val="00E97A19"/>
    <w:rsid w:val="00EA2C3B"/>
    <w:rsid w:val="00EA610E"/>
    <w:rsid w:val="00EA6237"/>
    <w:rsid w:val="00EB0C48"/>
    <w:rsid w:val="00EB1979"/>
    <w:rsid w:val="00EC108B"/>
    <w:rsid w:val="00EC1F06"/>
    <w:rsid w:val="00EC4EE9"/>
    <w:rsid w:val="00EC5A53"/>
    <w:rsid w:val="00EC6282"/>
    <w:rsid w:val="00ED1AFE"/>
    <w:rsid w:val="00ED6614"/>
    <w:rsid w:val="00ED6E2C"/>
    <w:rsid w:val="00ED769C"/>
    <w:rsid w:val="00EE08DC"/>
    <w:rsid w:val="00EE3E77"/>
    <w:rsid w:val="00EE4C57"/>
    <w:rsid w:val="00EF17CE"/>
    <w:rsid w:val="00EF3D93"/>
    <w:rsid w:val="00F003ED"/>
    <w:rsid w:val="00F004A2"/>
    <w:rsid w:val="00F015CC"/>
    <w:rsid w:val="00F1439E"/>
    <w:rsid w:val="00F152EE"/>
    <w:rsid w:val="00F16B12"/>
    <w:rsid w:val="00F17D56"/>
    <w:rsid w:val="00F20503"/>
    <w:rsid w:val="00F22D55"/>
    <w:rsid w:val="00F250F7"/>
    <w:rsid w:val="00F35025"/>
    <w:rsid w:val="00F35B9A"/>
    <w:rsid w:val="00F37A45"/>
    <w:rsid w:val="00F41D5F"/>
    <w:rsid w:val="00F431EE"/>
    <w:rsid w:val="00F43396"/>
    <w:rsid w:val="00F45A56"/>
    <w:rsid w:val="00F51D5E"/>
    <w:rsid w:val="00F55170"/>
    <w:rsid w:val="00F62DC4"/>
    <w:rsid w:val="00F73C50"/>
    <w:rsid w:val="00F773A4"/>
    <w:rsid w:val="00F773F0"/>
    <w:rsid w:val="00F8228B"/>
    <w:rsid w:val="00F82AEE"/>
    <w:rsid w:val="00F82EB0"/>
    <w:rsid w:val="00F83AF6"/>
    <w:rsid w:val="00F94E7E"/>
    <w:rsid w:val="00FA2695"/>
    <w:rsid w:val="00FB084D"/>
    <w:rsid w:val="00FB5439"/>
    <w:rsid w:val="00FC4E8C"/>
    <w:rsid w:val="00FC75CA"/>
    <w:rsid w:val="00FD32FD"/>
    <w:rsid w:val="00FE5357"/>
    <w:rsid w:val="00FE7D64"/>
    <w:rsid w:val="00FF2ABF"/>
    <w:rsid w:val="00FF4AEE"/>
    <w:rsid w:val="00FF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75BA"/>
  <w15:docId w15:val="{7A0D461B-9668-4475-80B8-C00F51FE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E52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E52B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E52B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52BDF"/>
    <w:rPr>
      <w:rFonts w:asciiTheme="majorHAnsi" w:eastAsiaTheme="majorEastAsia" w:hAnsiTheme="majorHAnsi" w:cstheme="majorBidi"/>
      <w:b/>
      <w:bCs/>
      <w:color w:val="365F91" w:themeColor="accent1" w:themeShade="BF"/>
      <w:sz w:val="28"/>
      <w:szCs w:val="28"/>
    </w:rPr>
  </w:style>
  <w:style w:type="paragraph" w:styleId="Opisslike">
    <w:name w:val="caption"/>
    <w:basedOn w:val="Normal"/>
    <w:next w:val="Normal"/>
    <w:qFormat/>
    <w:rsid w:val="00E52BDF"/>
    <w:pPr>
      <w:spacing w:before="120" w:after="120" w:line="240" w:lineRule="auto"/>
      <w:ind w:left="1701"/>
      <w:jc w:val="both"/>
    </w:pPr>
    <w:rPr>
      <w:rFonts w:ascii="Times New Roman" w:eastAsia="Times New Roman" w:hAnsi="Times New Roman" w:cs="Times New Roman"/>
      <w:b/>
      <w:bCs/>
      <w:sz w:val="20"/>
      <w:szCs w:val="20"/>
    </w:rPr>
  </w:style>
  <w:style w:type="character" w:customStyle="1" w:styleId="Naslov2Char">
    <w:name w:val="Naslov 2 Char"/>
    <w:basedOn w:val="Zadanifontodlomka"/>
    <w:link w:val="Naslov2"/>
    <w:uiPriority w:val="9"/>
    <w:rsid w:val="00E52BD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E52BDF"/>
    <w:rPr>
      <w:rFonts w:asciiTheme="majorHAnsi" w:eastAsiaTheme="majorEastAsia" w:hAnsiTheme="majorHAnsi" w:cstheme="majorBidi"/>
      <w:b/>
      <w:bCs/>
      <w:color w:val="4F81BD" w:themeColor="accent1"/>
    </w:rPr>
  </w:style>
  <w:style w:type="character" w:styleId="Istaknuto">
    <w:name w:val="Emphasis"/>
    <w:qFormat/>
    <w:rsid w:val="00E52BDF"/>
    <w:rPr>
      <w:i/>
      <w:iCs/>
    </w:rPr>
  </w:style>
  <w:style w:type="paragraph" w:customStyle="1" w:styleId="P1">
    <w:name w:val="P 1"/>
    <w:basedOn w:val="Normal"/>
    <w:rsid w:val="00E52BDF"/>
    <w:pPr>
      <w:spacing w:before="120" w:after="120" w:line="240" w:lineRule="auto"/>
      <w:ind w:left="567"/>
      <w:jc w:val="both"/>
    </w:pPr>
    <w:rPr>
      <w:rFonts w:ascii="Arial" w:eastAsia="Times New Roman" w:hAnsi="Arial" w:cs="Times New Roman"/>
      <w:color w:val="000000"/>
      <w:sz w:val="20"/>
      <w:szCs w:val="24"/>
      <w:lang w:val="hr-HR"/>
    </w:rPr>
  </w:style>
  <w:style w:type="paragraph" w:styleId="Podnoje">
    <w:name w:val="footer"/>
    <w:basedOn w:val="Normal"/>
    <w:link w:val="PodnojeChar"/>
    <w:uiPriority w:val="99"/>
    <w:unhideWhenUsed/>
    <w:rsid w:val="00C34C9E"/>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rsid w:val="00C34C9E"/>
    <w:rPr>
      <w:lang w:val="hr-HR"/>
    </w:rPr>
  </w:style>
  <w:style w:type="paragraph" w:styleId="TOCNaslov">
    <w:name w:val="TOC Heading"/>
    <w:basedOn w:val="Naslov1"/>
    <w:next w:val="Normal"/>
    <w:uiPriority w:val="39"/>
    <w:unhideWhenUsed/>
    <w:qFormat/>
    <w:rsid w:val="00C34C9E"/>
    <w:pPr>
      <w:outlineLvl w:val="9"/>
    </w:pPr>
    <w:rPr>
      <w:lang w:val="en-US" w:eastAsia="ja-JP"/>
    </w:rPr>
  </w:style>
  <w:style w:type="paragraph" w:styleId="Sadraj1">
    <w:name w:val="toc 1"/>
    <w:basedOn w:val="Normal"/>
    <w:next w:val="Normal"/>
    <w:autoRedefine/>
    <w:uiPriority w:val="39"/>
    <w:unhideWhenUsed/>
    <w:rsid w:val="00C34C9E"/>
    <w:pPr>
      <w:spacing w:after="100"/>
    </w:pPr>
  </w:style>
  <w:style w:type="paragraph" w:styleId="Sadraj2">
    <w:name w:val="toc 2"/>
    <w:basedOn w:val="Normal"/>
    <w:next w:val="Normal"/>
    <w:autoRedefine/>
    <w:uiPriority w:val="39"/>
    <w:unhideWhenUsed/>
    <w:rsid w:val="00772DF2"/>
    <w:pPr>
      <w:tabs>
        <w:tab w:val="left" w:pos="880"/>
        <w:tab w:val="right" w:leader="dot" w:pos="9062"/>
      </w:tabs>
      <w:spacing w:after="100"/>
      <w:ind w:left="220"/>
    </w:pPr>
  </w:style>
  <w:style w:type="paragraph" w:styleId="Sadraj3">
    <w:name w:val="toc 3"/>
    <w:basedOn w:val="Normal"/>
    <w:next w:val="Normal"/>
    <w:autoRedefine/>
    <w:uiPriority w:val="39"/>
    <w:unhideWhenUsed/>
    <w:rsid w:val="00C34C9E"/>
    <w:pPr>
      <w:spacing w:after="100"/>
      <w:ind w:left="440"/>
    </w:pPr>
  </w:style>
  <w:style w:type="character" w:styleId="Hiperveza">
    <w:name w:val="Hyperlink"/>
    <w:basedOn w:val="Zadanifontodlomka"/>
    <w:uiPriority w:val="99"/>
    <w:unhideWhenUsed/>
    <w:rsid w:val="00C34C9E"/>
    <w:rPr>
      <w:color w:val="0000FF" w:themeColor="hyperlink"/>
      <w:u w:val="single"/>
    </w:rPr>
  </w:style>
  <w:style w:type="paragraph" w:styleId="Tekstbalonia">
    <w:name w:val="Balloon Text"/>
    <w:basedOn w:val="Normal"/>
    <w:link w:val="TekstbaloniaChar"/>
    <w:uiPriority w:val="99"/>
    <w:semiHidden/>
    <w:unhideWhenUsed/>
    <w:rsid w:val="00C34C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34C9E"/>
    <w:rPr>
      <w:rFonts w:ascii="Tahoma" w:hAnsi="Tahoma" w:cs="Tahoma"/>
      <w:sz w:val="16"/>
      <w:szCs w:val="16"/>
    </w:rPr>
  </w:style>
  <w:style w:type="paragraph" w:styleId="Tablicaslika">
    <w:name w:val="table of figures"/>
    <w:basedOn w:val="Normal"/>
    <w:next w:val="Normal"/>
    <w:uiPriority w:val="99"/>
    <w:unhideWhenUsed/>
    <w:rsid w:val="00C34C9E"/>
    <w:pPr>
      <w:spacing w:after="0"/>
    </w:pPr>
  </w:style>
  <w:style w:type="paragraph" w:styleId="Zaglavlje">
    <w:name w:val="header"/>
    <w:basedOn w:val="Normal"/>
    <w:link w:val="ZaglavljeChar"/>
    <w:uiPriority w:val="99"/>
    <w:unhideWhenUsed/>
    <w:rsid w:val="00C34C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34C9E"/>
  </w:style>
  <w:style w:type="paragraph" w:styleId="Naslov">
    <w:name w:val="Title"/>
    <w:basedOn w:val="Normal"/>
    <w:next w:val="Normal"/>
    <w:link w:val="NaslovChar"/>
    <w:uiPriority w:val="10"/>
    <w:qFormat/>
    <w:rsid w:val="002148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2148BD"/>
    <w:rPr>
      <w:rFonts w:asciiTheme="majorHAnsi" w:eastAsiaTheme="majorEastAsia" w:hAnsiTheme="majorHAnsi" w:cstheme="majorBidi"/>
      <w:color w:val="17365D" w:themeColor="text2" w:themeShade="BF"/>
      <w:spacing w:val="5"/>
      <w:kern w:val="28"/>
      <w:sz w:val="52"/>
      <w:szCs w:val="52"/>
    </w:rPr>
  </w:style>
  <w:style w:type="paragraph" w:styleId="Tekstfusnote">
    <w:name w:val="footnote text"/>
    <w:aliases w:val="Tekst fusnote Char2 Char,Tekst fusnote Char1 Char1 Char,Tekst fusnote Char Char Char1 Char,Tekst fusnote Char1 Char Char Char Char,Tekst fusnote Char Char Char Char Char Char,Tekst fusnote Char Char1 Char Char,fn,Fußnote"/>
    <w:basedOn w:val="Normal"/>
    <w:link w:val="TekstfusnoteChar"/>
    <w:uiPriority w:val="99"/>
    <w:unhideWhenUsed/>
    <w:qFormat/>
    <w:rsid w:val="00DC1606"/>
    <w:pPr>
      <w:spacing w:after="0" w:line="240" w:lineRule="auto"/>
    </w:pPr>
    <w:rPr>
      <w:sz w:val="20"/>
      <w:szCs w:val="20"/>
    </w:rPr>
  </w:style>
  <w:style w:type="character" w:customStyle="1" w:styleId="TekstfusnoteChar">
    <w:name w:val="Tekst fusnote Char"/>
    <w:aliases w:val="Tekst fusnote Char2 Char Char,Tekst fusnote Char1 Char1 Char Char,Tekst fusnote Char Char Char1 Char Char,Tekst fusnote Char1 Char Char Char Char Char,Tekst fusnote Char Char Char Char Char Char Char,fn Char,Fußnote Char"/>
    <w:basedOn w:val="Zadanifontodlomka"/>
    <w:link w:val="Tekstfusnote"/>
    <w:uiPriority w:val="99"/>
    <w:rsid w:val="00DC1606"/>
    <w:rPr>
      <w:sz w:val="20"/>
      <w:szCs w:val="20"/>
    </w:rPr>
  </w:style>
  <w:style w:type="character" w:styleId="Referencafusnote">
    <w:name w:val="footnote reference"/>
    <w:aliases w:val="BVI fnr,16 Point,Superscript 6 Point"/>
    <w:basedOn w:val="Zadanifontodlomka"/>
    <w:unhideWhenUsed/>
    <w:qFormat/>
    <w:rsid w:val="00DC1606"/>
    <w:rPr>
      <w:vertAlign w:val="superscript"/>
    </w:rPr>
  </w:style>
  <w:style w:type="paragraph" w:styleId="Odlomakpopisa">
    <w:name w:val="List Paragraph"/>
    <w:basedOn w:val="Normal"/>
    <w:uiPriority w:val="34"/>
    <w:qFormat/>
    <w:rsid w:val="00C95085"/>
    <w:pPr>
      <w:ind w:left="720"/>
      <w:contextualSpacing/>
    </w:pPr>
  </w:style>
  <w:style w:type="paragraph" w:customStyle="1" w:styleId="Default">
    <w:name w:val="Default"/>
    <w:rsid w:val="0086024C"/>
    <w:pPr>
      <w:autoSpaceDE w:val="0"/>
      <w:autoSpaceDN w:val="0"/>
      <w:adjustRightInd w:val="0"/>
      <w:spacing w:after="0" w:line="240" w:lineRule="auto"/>
    </w:pPr>
    <w:rPr>
      <w:rFonts w:ascii="Times New Roman" w:hAnsi="Times New Roman" w:cs="Times New Roman"/>
      <w:color w:val="000000"/>
      <w:sz w:val="24"/>
      <w:szCs w:val="24"/>
      <w:lang w:val="hr-HR"/>
    </w:rPr>
  </w:style>
  <w:style w:type="character" w:styleId="Referencakomentara">
    <w:name w:val="annotation reference"/>
    <w:basedOn w:val="Zadanifontodlomka"/>
    <w:uiPriority w:val="99"/>
    <w:semiHidden/>
    <w:unhideWhenUsed/>
    <w:rsid w:val="00127B13"/>
    <w:rPr>
      <w:sz w:val="16"/>
      <w:szCs w:val="16"/>
    </w:rPr>
  </w:style>
  <w:style w:type="paragraph" w:styleId="Tekstkomentara">
    <w:name w:val="annotation text"/>
    <w:basedOn w:val="Normal"/>
    <w:link w:val="TekstkomentaraChar"/>
    <w:uiPriority w:val="99"/>
    <w:semiHidden/>
    <w:unhideWhenUsed/>
    <w:rsid w:val="00127B13"/>
    <w:pPr>
      <w:spacing w:line="240" w:lineRule="auto"/>
    </w:pPr>
    <w:rPr>
      <w:sz w:val="20"/>
      <w:szCs w:val="20"/>
    </w:rPr>
  </w:style>
  <w:style w:type="character" w:customStyle="1" w:styleId="TekstkomentaraChar">
    <w:name w:val="Tekst komentara Char"/>
    <w:basedOn w:val="Zadanifontodlomka"/>
    <w:link w:val="Tekstkomentara"/>
    <w:uiPriority w:val="99"/>
    <w:semiHidden/>
    <w:rsid w:val="00127B13"/>
    <w:rPr>
      <w:sz w:val="20"/>
      <w:szCs w:val="20"/>
    </w:rPr>
  </w:style>
  <w:style w:type="paragraph" w:styleId="Predmetkomentara">
    <w:name w:val="annotation subject"/>
    <w:basedOn w:val="Tekstkomentara"/>
    <w:next w:val="Tekstkomentara"/>
    <w:link w:val="PredmetkomentaraChar"/>
    <w:uiPriority w:val="99"/>
    <w:semiHidden/>
    <w:unhideWhenUsed/>
    <w:rsid w:val="00127B13"/>
    <w:rPr>
      <w:b/>
      <w:bCs/>
    </w:rPr>
  </w:style>
  <w:style w:type="character" w:customStyle="1" w:styleId="PredmetkomentaraChar">
    <w:name w:val="Predmet komentara Char"/>
    <w:basedOn w:val="TekstkomentaraChar"/>
    <w:link w:val="Predmetkomentara"/>
    <w:uiPriority w:val="99"/>
    <w:semiHidden/>
    <w:rsid w:val="00127B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063923">
      <w:bodyDiv w:val="1"/>
      <w:marLeft w:val="0"/>
      <w:marRight w:val="0"/>
      <w:marTop w:val="0"/>
      <w:marBottom w:val="0"/>
      <w:divBdr>
        <w:top w:val="none" w:sz="0" w:space="0" w:color="auto"/>
        <w:left w:val="none" w:sz="0" w:space="0" w:color="auto"/>
        <w:bottom w:val="none" w:sz="0" w:space="0" w:color="auto"/>
        <w:right w:val="none" w:sz="0" w:space="0" w:color="auto"/>
      </w:divBdr>
    </w:div>
    <w:div w:id="700783508">
      <w:bodyDiv w:val="1"/>
      <w:marLeft w:val="0"/>
      <w:marRight w:val="0"/>
      <w:marTop w:val="0"/>
      <w:marBottom w:val="0"/>
      <w:divBdr>
        <w:top w:val="none" w:sz="0" w:space="0" w:color="auto"/>
        <w:left w:val="none" w:sz="0" w:space="0" w:color="auto"/>
        <w:bottom w:val="none" w:sz="0" w:space="0" w:color="auto"/>
        <w:right w:val="none" w:sz="0" w:space="0" w:color="auto"/>
      </w:divBdr>
      <w:divsChild>
        <w:div w:id="441195733">
          <w:marLeft w:val="0"/>
          <w:marRight w:val="0"/>
          <w:marTop w:val="0"/>
          <w:marBottom w:val="0"/>
          <w:divBdr>
            <w:top w:val="none" w:sz="0" w:space="0" w:color="auto"/>
            <w:left w:val="none" w:sz="0" w:space="0" w:color="auto"/>
            <w:bottom w:val="none" w:sz="0" w:space="0" w:color="auto"/>
            <w:right w:val="none" w:sz="0" w:space="0" w:color="auto"/>
          </w:divBdr>
        </w:div>
      </w:divsChild>
    </w:div>
    <w:div w:id="837113886">
      <w:bodyDiv w:val="1"/>
      <w:marLeft w:val="0"/>
      <w:marRight w:val="0"/>
      <w:marTop w:val="0"/>
      <w:marBottom w:val="0"/>
      <w:divBdr>
        <w:top w:val="none" w:sz="0" w:space="0" w:color="auto"/>
        <w:left w:val="none" w:sz="0" w:space="0" w:color="auto"/>
        <w:bottom w:val="none" w:sz="0" w:space="0" w:color="auto"/>
        <w:right w:val="none" w:sz="0" w:space="0" w:color="auto"/>
      </w:divBdr>
      <w:divsChild>
        <w:div w:id="175689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2646-3D6C-4762-B1C9-CF2FC61A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5946</Words>
  <Characters>33897</Characters>
  <Application>Microsoft Office Word</Application>
  <DocSecurity>0</DocSecurity>
  <Lines>282</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Ivana Kunić</cp:lastModifiedBy>
  <cp:revision>16</cp:revision>
  <cp:lastPrinted>2021-07-28T18:04:00Z</cp:lastPrinted>
  <dcterms:created xsi:type="dcterms:W3CDTF">2021-07-28T17:44:00Z</dcterms:created>
  <dcterms:modified xsi:type="dcterms:W3CDTF">2021-07-29T05:49:00Z</dcterms:modified>
</cp:coreProperties>
</file>